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90C74" w:rsidRPr="00081B7D" w:rsidRDefault="00181240" w:rsidP="007A2144">
      <w:pPr>
        <w:ind w:left="0"/>
        <w:jc w:val="center"/>
      </w:pPr>
      <w:r w:rsidRPr="00081B7D">
        <w:rPr>
          <w:noProof/>
          <w:lang w:eastAsia="fr-FR"/>
        </w:rPr>
        <w:drawing>
          <wp:inline distT="0" distB="0" distL="0" distR="0">
            <wp:extent cx="2183207" cy="722489"/>
            <wp:effectExtent l="0" t="0" r="7620" b="1905"/>
            <wp:docPr id="26" name="Image 26" descr="C:\Users\Tesnim\Desktop\tesnim pfe\tesnim pfe\article_4 (1)\Figures\logoSupGalileeUP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snim\Desktop\tesnim pfe\tesnim pfe\article_4 (1)\Figures\logoSupGalileeUP13.jp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194320" cy="726167"/>
                    </a:xfrm>
                    <a:prstGeom prst="rect">
                      <a:avLst/>
                    </a:prstGeom>
                    <a:noFill/>
                    <a:ln>
                      <a:noFill/>
                    </a:ln>
                  </pic:spPr>
                </pic:pic>
              </a:graphicData>
            </a:graphic>
          </wp:inline>
        </w:drawing>
      </w:r>
    </w:p>
    <w:p w:rsidR="00690C74" w:rsidRPr="00081B7D" w:rsidRDefault="00690C74" w:rsidP="00181240">
      <w:pPr>
        <w:ind w:left="0"/>
        <w:jc w:val="center"/>
        <w:rPr>
          <w:rFonts w:asciiTheme="majorHAnsi" w:hAnsiTheme="majorHAnsi" w:cs="Arabic Typesetting"/>
          <w:color w:val="262626" w:themeColor="text1" w:themeTint="D9"/>
          <w:sz w:val="44"/>
        </w:rPr>
      </w:pPr>
      <w:r w:rsidRPr="00081B7D">
        <w:rPr>
          <w:rFonts w:asciiTheme="majorHAnsi" w:hAnsiTheme="majorHAnsi" w:cs="Arabic Typesetting"/>
          <w:color w:val="262626" w:themeColor="text1" w:themeTint="D9"/>
          <w:sz w:val="44"/>
        </w:rPr>
        <w:t>S</w:t>
      </w:r>
      <w:r w:rsidRPr="00081B7D">
        <w:rPr>
          <w:rFonts w:asciiTheme="majorHAnsi" w:hAnsiTheme="majorHAnsi" w:cs="Arabic Typesetting"/>
          <w:color w:val="262626" w:themeColor="text1" w:themeTint="D9"/>
          <w:sz w:val="40"/>
        </w:rPr>
        <w:t>UP</w:t>
      </w:r>
      <w:r w:rsidRPr="00081B7D">
        <w:rPr>
          <w:rFonts w:asciiTheme="majorHAnsi" w:hAnsiTheme="majorHAnsi" w:cs="Arabic Typesetting"/>
          <w:color w:val="262626" w:themeColor="text1" w:themeTint="D9"/>
          <w:sz w:val="44"/>
        </w:rPr>
        <w:t>G</w:t>
      </w:r>
      <w:r w:rsidRPr="00081B7D">
        <w:rPr>
          <w:rFonts w:asciiTheme="majorHAnsi" w:hAnsiTheme="majorHAnsi" w:cs="Arabic Typesetting"/>
          <w:color w:val="262626" w:themeColor="text1" w:themeTint="D9"/>
          <w:sz w:val="40"/>
        </w:rPr>
        <w:t xml:space="preserve">ALILEE </w:t>
      </w:r>
      <w:r w:rsidRPr="00081B7D">
        <w:rPr>
          <w:rFonts w:asciiTheme="majorHAnsi" w:hAnsiTheme="majorHAnsi" w:cs="Arabic Typesetting"/>
          <w:color w:val="262626" w:themeColor="text1" w:themeTint="D9"/>
          <w:sz w:val="44"/>
        </w:rPr>
        <w:t>U</w:t>
      </w:r>
      <w:r w:rsidRPr="00081B7D">
        <w:rPr>
          <w:rFonts w:asciiTheme="majorHAnsi" w:hAnsiTheme="majorHAnsi" w:cs="Arabic Typesetting"/>
          <w:color w:val="262626" w:themeColor="text1" w:themeTint="D9"/>
          <w:sz w:val="40"/>
        </w:rPr>
        <w:t xml:space="preserve">NIVERSITE </w:t>
      </w:r>
      <w:r w:rsidRPr="00081B7D">
        <w:rPr>
          <w:rFonts w:asciiTheme="majorHAnsi" w:hAnsiTheme="majorHAnsi" w:cs="Arabic Typesetting"/>
          <w:color w:val="262626" w:themeColor="text1" w:themeTint="D9"/>
          <w:sz w:val="44"/>
        </w:rPr>
        <w:t>P</w:t>
      </w:r>
      <w:r w:rsidRPr="00081B7D">
        <w:rPr>
          <w:rFonts w:asciiTheme="majorHAnsi" w:hAnsiTheme="majorHAnsi" w:cs="Arabic Typesetting"/>
          <w:color w:val="262626" w:themeColor="text1" w:themeTint="D9"/>
          <w:sz w:val="40"/>
        </w:rPr>
        <w:t xml:space="preserve">ARIS </w:t>
      </w:r>
      <w:r w:rsidRPr="00081B7D">
        <w:rPr>
          <w:rFonts w:asciiTheme="majorHAnsi" w:hAnsiTheme="majorHAnsi" w:cs="Arabic Typesetting"/>
          <w:color w:val="262626" w:themeColor="text1" w:themeTint="D9"/>
          <w:sz w:val="44"/>
        </w:rPr>
        <w:t>13</w:t>
      </w:r>
    </w:p>
    <w:p w:rsidR="007A2144" w:rsidRPr="00081B7D" w:rsidRDefault="007A2144" w:rsidP="00181240">
      <w:pPr>
        <w:ind w:left="0"/>
        <w:jc w:val="center"/>
        <w:rPr>
          <w:rFonts w:ascii="Arabic Typesetting" w:hAnsi="Arabic Typesetting" w:cs="Arabic Typesetting"/>
          <w:b/>
          <w:sz w:val="36"/>
        </w:rPr>
      </w:pPr>
    </w:p>
    <w:p w:rsidR="00A50822" w:rsidRPr="00081B7D" w:rsidRDefault="007A2144" w:rsidP="00501936">
      <w:pPr>
        <w:spacing w:after="0" w:line="240" w:lineRule="auto"/>
        <w:ind w:left="0"/>
        <w:jc w:val="center"/>
        <w:rPr>
          <w:rFonts w:ascii="Adobe Caslon Pro" w:hAnsi="Adobe Caslon Pro" w:cs="Arabic Typesetting"/>
          <w:b/>
          <w:color w:val="262626" w:themeColor="text1" w:themeTint="D9"/>
          <w:sz w:val="36"/>
        </w:rPr>
      </w:pPr>
      <w:r w:rsidRPr="00081B7D">
        <w:rPr>
          <w:rFonts w:ascii="Adobe Caslon Pro" w:hAnsi="Adobe Caslon Pro" w:cs="Arabic Typesetting"/>
          <w:b/>
          <w:color w:val="262626" w:themeColor="text1" w:themeTint="D9"/>
          <w:sz w:val="48"/>
          <w:szCs w:val="60"/>
        </w:rPr>
        <w:t>S</w:t>
      </w:r>
      <w:r w:rsidRPr="00081B7D">
        <w:rPr>
          <w:rFonts w:ascii="Adobe Caslon Pro" w:hAnsi="Adobe Caslon Pro" w:cs="Arabic Typesetting"/>
          <w:b/>
          <w:color w:val="262626" w:themeColor="text1" w:themeTint="D9"/>
          <w:sz w:val="36"/>
        </w:rPr>
        <w:t>TAGE</w:t>
      </w:r>
      <w:r w:rsidRPr="00081B7D">
        <w:rPr>
          <w:rFonts w:ascii="Adobe Caslon Pro" w:hAnsi="Adobe Caslon Pro" w:cs="Arabic Typesetting"/>
          <w:b/>
          <w:color w:val="262626" w:themeColor="text1" w:themeTint="D9"/>
          <w:sz w:val="40"/>
        </w:rPr>
        <w:t xml:space="preserve"> </w:t>
      </w:r>
      <w:r w:rsidRPr="00081B7D">
        <w:rPr>
          <w:rFonts w:ascii="Adobe Caslon Pro" w:hAnsi="Adobe Caslon Pro" w:cs="Arabic Typesetting"/>
          <w:b/>
          <w:color w:val="262626" w:themeColor="text1" w:themeTint="D9"/>
          <w:sz w:val="36"/>
        </w:rPr>
        <w:t>DE FIN D’ETUDES</w:t>
      </w:r>
    </w:p>
    <w:p w:rsidR="003D45AE" w:rsidRPr="00081B7D" w:rsidRDefault="007E2F79" w:rsidP="00BD18EF">
      <w:pPr>
        <w:spacing w:after="0" w:line="240" w:lineRule="auto"/>
        <w:ind w:left="-284" w:right="-284"/>
        <w:jc w:val="center"/>
        <w:rPr>
          <w:rFonts w:ascii="Estrangelo Edessa" w:hAnsi="Estrangelo Edessa" w:cs="Estrangelo Edessa"/>
          <w:b/>
          <w:color w:val="262626" w:themeColor="text1" w:themeTint="D9"/>
          <w:sz w:val="56"/>
          <w:szCs w:val="60"/>
        </w:rPr>
      </w:pPr>
      <w:r w:rsidRPr="007E2F79">
        <w:rPr>
          <w:noProof/>
          <w:color w:val="7F7F7F" w:themeColor="text1" w:themeTint="80"/>
          <w:sz w:val="20"/>
          <w:lang w:eastAsia="fr-FR"/>
        </w:rPr>
        <w:pict>
          <v:line id="Connecteur droit 41" o:spid="_x0000_s1026" style="position:absolute;left:0;text-align:left;flip:y;z-index:251663360;visibility:visible;mso-width-relative:margin" from="-17.25pt,13.2pt" to="484pt,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" strokecolor="#0f243e [1615]" strokeweight=".25pt"/>
        </w:pict>
      </w:r>
    </w:p>
    <w:p w:rsidR="007A2144" w:rsidRPr="00081B7D" w:rsidRDefault="00043A1B" w:rsidP="00BD18EF">
      <w:pPr>
        <w:spacing w:after="0" w:line="240" w:lineRule="auto"/>
        <w:ind w:left="-284" w:right="-284"/>
        <w:jc w:val="center"/>
        <w:rPr>
          <w:rFonts w:ascii="Estrangelo Edessa" w:hAnsi="Estrangelo Edessa" w:cs="Estrangelo Edessa"/>
          <w:b/>
          <w:color w:val="262626" w:themeColor="text1" w:themeTint="D9"/>
          <w:sz w:val="56"/>
          <w:szCs w:val="60"/>
        </w:rPr>
      </w:pPr>
      <w:r w:rsidRPr="00081B7D">
        <w:rPr>
          <w:rFonts w:ascii="Estrangelo Edessa" w:hAnsi="Estrangelo Edessa" w:cs="Estrangelo Edessa"/>
          <w:b/>
          <w:color w:val="262626" w:themeColor="text1" w:themeTint="D9"/>
          <w:sz w:val="56"/>
          <w:szCs w:val="60"/>
        </w:rPr>
        <w:t>GESTION DU COLLATERAL DANS LES MARCHES DES REPOS ET DE PRET EMPRUNT</w:t>
      </w:r>
      <w:r w:rsidR="007A2144" w:rsidRPr="00081B7D">
        <w:rPr>
          <w:rFonts w:ascii="Estrangelo Edessa" w:hAnsi="Estrangelo Edessa" w:cs="Estrangelo Edessa"/>
          <w:b/>
          <w:color w:val="262626" w:themeColor="text1" w:themeTint="D9"/>
          <w:sz w:val="56"/>
          <w:szCs w:val="60"/>
        </w:rPr>
        <w:t xml:space="preserve"> </w:t>
      </w:r>
    </w:p>
    <w:p w:rsidR="00690C74" w:rsidRPr="00081B7D" w:rsidRDefault="007E2F79" w:rsidP="00181240">
      <w:pPr>
        <w:ind w:left="0"/>
        <w:jc w:val="center"/>
        <w:rPr>
          <w:sz w:val="20"/>
        </w:rPr>
      </w:pPr>
      <w:r w:rsidRPr="007E2F79">
        <w:rPr>
          <w:noProof/>
          <w:color w:val="7F7F7F" w:themeColor="text1" w:themeTint="80"/>
          <w:sz w:val="20"/>
          <w:lang w:eastAsia="fr-FR"/>
        </w:rPr>
        <w:pict>
          <v:line id="Connecteur droit 37" o:spid="_x0000_s1027" style="position:absolute;left:0;text-align:left;flip:y;z-index:251661312;visibility:visible;mso-width-relative:margin" from="-18.05pt,15.3pt" to="483.2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" strokecolor="#0f243e [1615]" strokeweight=".25pt"/>
        </w:pict>
      </w:r>
    </w:p>
    <w:p w:rsidR="00690C74" w:rsidRPr="00081B7D" w:rsidRDefault="00690C74" w:rsidP="00690C74">
      <w:pPr>
        <w:ind w:left="0"/>
        <w:rPr>
          <w:sz w:val="20"/>
        </w:rPr>
        <w:sectPr w:rsidR="00690C74" w:rsidRPr="00081B7D" w:rsidSect="003D6DC2">
          <w:headerReference w:type="default" r:id="rId9"/>
          <w:footerReference w:type="default" r:id="rId10"/>
          <w:pgSz w:w="11906" w:h="16838"/>
          <w:pgMar w:top="1417" w:right="1417" w:bottom="1417" w:left="1417" w:header="3" w:footer="191" w:gutter="0"/>
          <w:cols w:space="708"/>
          <w:docGrid w:linePitch="360"/>
        </w:sectPr>
      </w:pPr>
    </w:p>
    <w:p w:rsidR="00A50822" w:rsidRPr="00081B7D" w:rsidRDefault="00A50822" w:rsidP="00A50822">
      <w:pPr>
        <w:spacing w:after="0"/>
        <w:rPr>
          <w:rFonts w:ascii="Cambria" w:hAnsi="Cambria"/>
          <w:sz w:val="28"/>
        </w:rPr>
      </w:pPr>
    </w:p>
    <w:p w:rsidR="00181240" w:rsidRPr="00081B7D" w:rsidRDefault="00181240" w:rsidP="003D6DC2">
      <w:pPr>
        <w:spacing w:after="0"/>
        <w:ind w:left="0"/>
        <w:rPr>
          <w:rFonts w:ascii="Calisto MT" w:hAnsi="Calisto MT" w:cs="Arabic Typesetting"/>
          <w:i/>
          <w:color w:val="262626" w:themeColor="text1" w:themeTint="D9"/>
          <w:spacing w:val="20"/>
          <w:sz w:val="24"/>
        </w:rPr>
      </w:pPr>
      <w:r w:rsidRPr="00081B7D">
        <w:rPr>
          <w:rFonts w:ascii="Calisto MT" w:hAnsi="Calisto MT" w:cs="Arabic Typesetting"/>
          <w:i/>
          <w:color w:val="262626" w:themeColor="text1" w:themeTint="D9"/>
          <w:spacing w:val="20"/>
          <w:sz w:val="24"/>
        </w:rPr>
        <w:t>Fait par</w:t>
      </w:r>
    </w:p>
    <w:p w:rsidR="00181240" w:rsidRPr="00081B7D" w:rsidRDefault="00181240" w:rsidP="003D6DC2">
      <w:pPr>
        <w:ind w:left="0"/>
        <w:rPr>
          <w:rFonts w:ascii="Calisto MT" w:hAnsi="Calisto MT"/>
          <w:sz w:val="36"/>
          <w:szCs w:val="42"/>
        </w:rPr>
      </w:pPr>
      <w:proofErr w:type="spellStart"/>
      <w:r w:rsidRPr="00081B7D">
        <w:rPr>
          <w:rFonts w:ascii="Calisto MT" w:hAnsi="Calisto MT"/>
          <w:sz w:val="32"/>
          <w:szCs w:val="42"/>
        </w:rPr>
        <w:t>Tesnim</w:t>
      </w:r>
      <w:proofErr w:type="spellEnd"/>
      <w:r w:rsidRPr="00081B7D">
        <w:rPr>
          <w:rFonts w:ascii="Calisto MT" w:hAnsi="Calisto MT"/>
          <w:sz w:val="32"/>
          <w:szCs w:val="42"/>
        </w:rPr>
        <w:t xml:space="preserve"> </w:t>
      </w:r>
      <w:r w:rsidR="00690C74" w:rsidRPr="00081B7D">
        <w:rPr>
          <w:rFonts w:ascii="Calisto MT" w:hAnsi="Calisto MT"/>
          <w:sz w:val="32"/>
          <w:szCs w:val="42"/>
        </w:rPr>
        <w:t>G</w:t>
      </w:r>
      <w:r w:rsidR="00690C74" w:rsidRPr="00081B7D">
        <w:rPr>
          <w:rFonts w:ascii="Calisto MT" w:hAnsi="Calisto MT"/>
          <w:sz w:val="28"/>
          <w:szCs w:val="42"/>
        </w:rPr>
        <w:t>ALAI</w:t>
      </w:r>
      <w:r w:rsidR="00690C74" w:rsidRPr="00081B7D">
        <w:rPr>
          <w:rFonts w:ascii="Calisto MT" w:hAnsi="Calisto MT"/>
          <w:sz w:val="36"/>
          <w:szCs w:val="42"/>
        </w:rPr>
        <w:tab/>
      </w:r>
    </w:p>
    <w:p w:rsidR="00181240" w:rsidRPr="00081B7D" w:rsidRDefault="00181240" w:rsidP="00181240">
      <w:pPr>
        <w:ind w:left="0"/>
        <w:jc w:val="center"/>
        <w:rPr>
          <w:sz w:val="20"/>
        </w:rPr>
      </w:pPr>
    </w:p>
    <w:p w:rsidR="00181240" w:rsidRPr="00081B7D" w:rsidRDefault="00181240" w:rsidP="00BC4E6C">
      <w:pPr>
        <w:ind w:left="0"/>
        <w:rPr>
          <w:sz w:val="20"/>
        </w:rPr>
      </w:pPr>
    </w:p>
    <w:p w:rsidR="00BD18EF" w:rsidRPr="00081B7D" w:rsidRDefault="00BD18EF" w:rsidP="00BC4E6C">
      <w:pPr>
        <w:ind w:left="0"/>
        <w:rPr>
          <w:sz w:val="20"/>
        </w:rPr>
      </w:pPr>
    </w:p>
    <w:p w:rsidR="00A50822" w:rsidRPr="00081B7D" w:rsidRDefault="00A50822" w:rsidP="00A50822">
      <w:pPr>
        <w:tabs>
          <w:tab w:val="left" w:pos="142"/>
        </w:tabs>
        <w:spacing w:after="0"/>
        <w:ind w:left="0"/>
        <w:rPr>
          <w:rFonts w:ascii="Cambria" w:hAnsi="Cambria"/>
          <w:sz w:val="28"/>
        </w:rPr>
      </w:pPr>
    </w:p>
    <w:p w:rsidR="005F41F1" w:rsidRPr="00081B7D" w:rsidRDefault="00690C74" w:rsidP="003D6DC2">
      <w:pPr>
        <w:spacing w:after="0"/>
        <w:ind w:left="0"/>
        <w:jc w:val="right"/>
        <w:rPr>
          <w:rFonts w:ascii="Calisto MT" w:hAnsi="Calisto MT" w:cs="Arabic Typesetting"/>
          <w:i/>
          <w:color w:val="262626" w:themeColor="text1" w:themeTint="D9"/>
          <w:spacing w:val="20"/>
          <w:sz w:val="24"/>
        </w:rPr>
      </w:pPr>
      <w:r w:rsidRPr="00081B7D">
        <w:rPr>
          <w:rFonts w:ascii="Calisto MT" w:hAnsi="Calisto MT" w:cs="Arabic Typesetting"/>
          <w:i/>
          <w:color w:val="262626" w:themeColor="text1" w:themeTint="D9"/>
          <w:spacing w:val="20"/>
          <w:sz w:val="24"/>
        </w:rPr>
        <w:t>Maitre de stage</w:t>
      </w:r>
    </w:p>
    <w:p w:rsidR="005F41F1" w:rsidRPr="00081B7D" w:rsidRDefault="005F41F1" w:rsidP="003D6DC2">
      <w:pPr>
        <w:tabs>
          <w:tab w:val="left" w:pos="142"/>
        </w:tabs>
        <w:ind w:left="0"/>
        <w:jc w:val="right"/>
        <w:rPr>
          <w:rFonts w:ascii="Calisto MT" w:hAnsi="Calisto MT"/>
          <w:sz w:val="36"/>
          <w:szCs w:val="42"/>
        </w:rPr>
      </w:pPr>
      <w:r w:rsidRPr="00081B7D">
        <w:rPr>
          <w:rFonts w:ascii="Calisto MT" w:hAnsi="Calisto MT"/>
          <w:sz w:val="32"/>
          <w:szCs w:val="42"/>
        </w:rPr>
        <w:t xml:space="preserve">M. </w:t>
      </w:r>
      <w:proofErr w:type="spellStart"/>
      <w:r w:rsidR="00690C74" w:rsidRPr="00081B7D">
        <w:rPr>
          <w:rFonts w:ascii="Calisto MT" w:hAnsi="Calisto MT"/>
          <w:sz w:val="32"/>
          <w:szCs w:val="42"/>
        </w:rPr>
        <w:t>Belkacem</w:t>
      </w:r>
      <w:proofErr w:type="spellEnd"/>
      <w:r w:rsidR="00690C74" w:rsidRPr="00081B7D">
        <w:rPr>
          <w:rFonts w:ascii="Calisto MT" w:hAnsi="Calisto MT"/>
          <w:sz w:val="32"/>
          <w:szCs w:val="42"/>
        </w:rPr>
        <w:t xml:space="preserve"> M</w:t>
      </w:r>
      <w:r w:rsidR="00690C74" w:rsidRPr="00081B7D">
        <w:rPr>
          <w:rFonts w:ascii="Calisto MT" w:hAnsi="Calisto MT"/>
          <w:sz w:val="28"/>
          <w:szCs w:val="42"/>
        </w:rPr>
        <w:t>EBAREK</w:t>
      </w:r>
    </w:p>
    <w:p w:rsidR="003F4AC0" w:rsidRDefault="003F4AC0" w:rsidP="003F4AC0">
      <w:pPr>
        <w:spacing w:after="0"/>
        <w:ind w:left="0"/>
        <w:jc w:val="right"/>
        <w:rPr>
          <w:rFonts w:ascii="Calisto MT" w:hAnsi="Calisto MT" w:cs="Arabic Typesetting"/>
          <w:i/>
          <w:color w:val="262626" w:themeColor="text1" w:themeTint="D9"/>
          <w:spacing w:val="20"/>
          <w:sz w:val="24"/>
        </w:rPr>
      </w:pPr>
      <w:r>
        <w:rPr>
          <w:rFonts w:ascii="Calisto MT" w:hAnsi="Calisto MT" w:cs="Arabic Typesetting"/>
          <w:i/>
          <w:color w:val="262626" w:themeColor="text1" w:themeTint="D9"/>
          <w:spacing w:val="20"/>
          <w:sz w:val="24"/>
        </w:rPr>
        <w:t>Tuteur universitaire</w:t>
      </w:r>
    </w:p>
    <w:p w:rsidR="003F4AC0" w:rsidRPr="00081B7D" w:rsidRDefault="003F4AC0" w:rsidP="003F4AC0">
      <w:pPr>
        <w:spacing w:after="0"/>
        <w:ind w:left="0"/>
        <w:jc w:val="right"/>
        <w:rPr>
          <w:rFonts w:ascii="Calisto MT" w:hAnsi="Calisto MT" w:cs="Arabic Typesetting"/>
          <w:i/>
          <w:color w:val="262626" w:themeColor="text1" w:themeTint="D9"/>
          <w:spacing w:val="20"/>
          <w:sz w:val="24"/>
        </w:rPr>
      </w:pPr>
      <w:r w:rsidRPr="003F4AC0">
        <w:rPr>
          <w:rFonts w:ascii="Calisto MT" w:hAnsi="Calisto MT"/>
          <w:sz w:val="28"/>
          <w:szCs w:val="42"/>
        </w:rPr>
        <w:t xml:space="preserve">M. </w:t>
      </w:r>
      <w:r>
        <w:rPr>
          <w:rFonts w:ascii="Calisto MT" w:hAnsi="Calisto MT"/>
          <w:sz w:val="28"/>
          <w:szCs w:val="42"/>
        </w:rPr>
        <w:t>Mohamed</w:t>
      </w:r>
      <w:r w:rsidRPr="003F4AC0">
        <w:rPr>
          <w:rFonts w:ascii="Calisto MT" w:hAnsi="Calisto MT"/>
          <w:sz w:val="28"/>
          <w:szCs w:val="42"/>
        </w:rPr>
        <w:t xml:space="preserve"> </w:t>
      </w:r>
      <w:r>
        <w:rPr>
          <w:rFonts w:ascii="Calisto MT" w:hAnsi="Calisto MT"/>
          <w:sz w:val="28"/>
          <w:szCs w:val="42"/>
        </w:rPr>
        <w:t>BEN ALAYA</w:t>
      </w:r>
    </w:p>
    <w:p w:rsidR="00181240" w:rsidRPr="00081B7D" w:rsidRDefault="00181240" w:rsidP="00181240">
      <w:pPr>
        <w:ind w:left="0"/>
        <w:jc w:val="center"/>
        <w:rPr>
          <w:sz w:val="20"/>
        </w:rPr>
      </w:pPr>
    </w:p>
    <w:p w:rsidR="00181240" w:rsidRPr="00081B7D" w:rsidRDefault="00181240" w:rsidP="00181240">
      <w:pPr>
        <w:ind w:left="0"/>
        <w:jc w:val="center"/>
        <w:rPr>
          <w:sz w:val="20"/>
        </w:rPr>
      </w:pPr>
    </w:p>
    <w:p w:rsidR="00181240" w:rsidRPr="00081B7D" w:rsidRDefault="00181240" w:rsidP="00181240">
      <w:pPr>
        <w:ind w:left="0"/>
        <w:jc w:val="center"/>
        <w:rPr>
          <w:sz w:val="20"/>
        </w:rPr>
        <w:sectPr w:rsidR="00181240" w:rsidRPr="00081B7D" w:rsidSect="003D6DC2">
          <w:type w:val="continuous"/>
          <w:pgSz w:w="11906" w:h="16838"/>
          <w:pgMar w:top="1417" w:right="1417" w:bottom="1417" w:left="1417" w:header="3" w:footer="191" w:gutter="0"/>
          <w:cols w:num="2" w:space="282"/>
          <w:docGrid w:linePitch="360"/>
        </w:sectPr>
      </w:pPr>
    </w:p>
    <w:p w:rsidR="00A50822" w:rsidRPr="00081B7D" w:rsidRDefault="00AB3BF4" w:rsidP="00AB3BF4">
      <w:pPr>
        <w:spacing w:after="0" w:line="360" w:lineRule="auto"/>
        <w:ind w:left="0"/>
        <w:jc w:val="center"/>
        <w:rPr>
          <w:rFonts w:ascii="Calisto MT" w:hAnsi="Calisto MT" w:cs="Arabic Typesetting"/>
          <w:i/>
          <w:color w:val="262626" w:themeColor="text1" w:themeTint="D9"/>
          <w:spacing w:val="20"/>
          <w:sz w:val="24"/>
        </w:rPr>
      </w:pPr>
      <w:r w:rsidRPr="00081B7D">
        <w:rPr>
          <w:rFonts w:ascii="Calisto MT" w:hAnsi="Calisto MT" w:cs="Arabic Typesetting"/>
          <w:i/>
          <w:color w:val="262626" w:themeColor="text1" w:themeTint="D9"/>
          <w:spacing w:val="20"/>
          <w:sz w:val="24"/>
        </w:rPr>
        <w:lastRenderedPageBreak/>
        <w:t xml:space="preserve">Pour l’obtention du diplôme d’ingénieur en </w:t>
      </w:r>
    </w:p>
    <w:p w:rsidR="005F41F1" w:rsidRPr="00081B7D" w:rsidRDefault="00A50822" w:rsidP="00BD18EF">
      <w:pPr>
        <w:spacing w:after="0"/>
        <w:ind w:left="0"/>
        <w:jc w:val="center"/>
        <w:rPr>
          <w:rFonts w:ascii="Calisto MT" w:hAnsi="Calisto MT" w:cs="Arabic Typesetting"/>
          <w:color w:val="262626" w:themeColor="text1" w:themeTint="D9"/>
          <w:sz w:val="32"/>
          <w:szCs w:val="32"/>
        </w:rPr>
      </w:pPr>
      <w:r w:rsidRPr="00081B7D">
        <w:rPr>
          <w:rFonts w:ascii="Calisto MT" w:hAnsi="Calisto MT" w:cs="Arabic Typesetting"/>
          <w:color w:val="262626" w:themeColor="text1" w:themeTint="D9"/>
          <w:sz w:val="32"/>
          <w:szCs w:val="32"/>
        </w:rPr>
        <w:t>Mathématiques Appliquées et Calcul Scientifique</w:t>
      </w:r>
    </w:p>
    <w:p w:rsidR="00BD18EF" w:rsidRPr="00081B7D" w:rsidRDefault="00BD18EF" w:rsidP="00BD18EF">
      <w:pPr>
        <w:spacing w:after="0"/>
        <w:ind w:left="0"/>
        <w:jc w:val="center"/>
        <w:rPr>
          <w:rFonts w:ascii="Calisto MT" w:hAnsi="Calisto MT" w:cs="Arabic Typesetting"/>
          <w:color w:val="262626" w:themeColor="text1" w:themeTint="D9"/>
          <w:sz w:val="28"/>
        </w:rPr>
      </w:pPr>
    </w:p>
    <w:p w:rsidR="00BC4E6C" w:rsidRPr="00081B7D" w:rsidRDefault="00BC4E6C" w:rsidP="00BC4E6C">
      <w:pPr>
        <w:ind w:left="0"/>
      </w:pPr>
    </w:p>
    <w:p w:rsidR="005F41F1" w:rsidRPr="00081B7D" w:rsidRDefault="00A50822" w:rsidP="00A50822">
      <w:pPr>
        <w:spacing w:after="0" w:line="360" w:lineRule="auto"/>
        <w:ind w:left="0"/>
        <w:jc w:val="center"/>
        <w:rPr>
          <w:rFonts w:ascii="Calisto MT" w:hAnsi="Calisto MT" w:cs="Arabic Typesetting"/>
          <w:i/>
          <w:color w:val="262626" w:themeColor="text1" w:themeTint="D9"/>
          <w:spacing w:val="20"/>
          <w:sz w:val="28"/>
        </w:rPr>
      </w:pPr>
      <w:r w:rsidRPr="00081B7D">
        <w:rPr>
          <w:rFonts w:ascii="Calisto MT" w:hAnsi="Calisto MT" w:cs="Arabic Typesetting"/>
          <w:i/>
          <w:color w:val="262626" w:themeColor="text1" w:themeTint="D9"/>
          <w:spacing w:val="20"/>
          <w:sz w:val="28"/>
        </w:rPr>
        <w:t>Stage effectué à</w:t>
      </w:r>
    </w:p>
    <w:p w:rsidR="00A50822" w:rsidRDefault="00BC4E6C" w:rsidP="00A50822">
      <w:pPr>
        <w:spacing w:after="0" w:line="360" w:lineRule="auto"/>
        <w:ind w:left="0"/>
        <w:jc w:val="center"/>
        <w:rPr>
          <w:rFonts w:ascii="Calisto MT" w:hAnsi="Calisto MT" w:cs="Arabic Typesetting"/>
          <w:color w:val="262626" w:themeColor="text1" w:themeTint="D9"/>
          <w:sz w:val="24"/>
        </w:rPr>
      </w:pPr>
      <w:r w:rsidRPr="00081B7D">
        <w:rPr>
          <w:noProof/>
          <w:lang w:eastAsia="fr-FR"/>
        </w:rPr>
        <w:drawing>
          <wp:inline distT="0" distB="0" distL="0" distR="0">
            <wp:extent cx="3048000" cy="406400"/>
            <wp:effectExtent l="0" t="0" r="0" b="0"/>
            <wp:docPr id="33" name="Image 33" descr="C:\Users\Tesnim\Desktop\tesnim pfe\tesnim pfe\article_4 (1)\Figures\LogoSocieteGener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esnim\Desktop\tesnim pfe\tesnim pfe\article_4 (1)\Figures\LogoSocieteGenerale.jpg"/>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48000" cy="406400"/>
                    </a:xfrm>
                    <a:prstGeom prst="rect">
                      <a:avLst/>
                    </a:prstGeom>
                    <a:noFill/>
                    <a:ln>
                      <a:noFill/>
                    </a:ln>
                  </pic:spPr>
                </pic:pic>
              </a:graphicData>
            </a:graphic>
          </wp:inline>
        </w:drawing>
      </w:r>
    </w:p>
    <w:p w:rsidR="003F4AC0" w:rsidRPr="00081B7D" w:rsidRDefault="003F4AC0" w:rsidP="00A50822">
      <w:pPr>
        <w:spacing w:after="0" w:line="360" w:lineRule="auto"/>
        <w:ind w:left="0"/>
        <w:jc w:val="center"/>
        <w:rPr>
          <w:rFonts w:ascii="Calisto MT" w:hAnsi="Calisto MT" w:cs="Arabic Typesetting"/>
          <w:color w:val="262626" w:themeColor="text1" w:themeTint="D9"/>
          <w:sz w:val="24"/>
        </w:rPr>
      </w:pPr>
      <w:r>
        <w:rPr>
          <w:rFonts w:ascii="Calisto MT" w:hAnsi="Calisto MT" w:cs="Arabic Typesetting"/>
          <w:noProof/>
          <w:color w:val="262626" w:themeColor="text1" w:themeTint="D9"/>
          <w:sz w:val="24"/>
          <w:lang w:eastAsia="fr-FR"/>
        </w:rPr>
        <w:pict>
          <v:rect id="_x0000_s1028" style="position:absolute;left:0;text-align:left;margin-left:170.65pt;margin-top:18.55pt;width:111.75pt;height:18.75pt;z-index:251669504" filled="f" fillcolor="#b8cce4 [1300]"/>
        </w:pict>
      </w:r>
    </w:p>
    <w:p w:rsidR="00BC4E6C" w:rsidRPr="00081B7D" w:rsidRDefault="003F4AC0" w:rsidP="00A50822">
      <w:pPr>
        <w:spacing w:after="0" w:line="360" w:lineRule="auto"/>
        <w:ind w:left="0"/>
        <w:jc w:val="center"/>
        <w:rPr>
          <w:rFonts w:ascii="Calisto MT" w:hAnsi="Calisto MT" w:cs="Arabic Typesetting"/>
          <w:color w:val="262626" w:themeColor="text1" w:themeTint="D9"/>
          <w:sz w:val="24"/>
        </w:rPr>
      </w:pPr>
      <w:r>
        <w:rPr>
          <w:rFonts w:ascii="Calisto MT" w:hAnsi="Calisto MT" w:cs="Arabic Typesetting"/>
          <w:color w:val="262626" w:themeColor="text1" w:themeTint="D9"/>
          <w:sz w:val="24"/>
        </w:rPr>
        <w:t>CONFIDENTIEL</w:t>
      </w:r>
    </w:p>
    <w:p w:rsidR="00710690" w:rsidRPr="00081B7D" w:rsidRDefault="00BC4E6C" w:rsidP="003F4AC0">
      <w:pPr>
        <w:spacing w:before="240" w:after="0" w:line="360" w:lineRule="auto"/>
        <w:ind w:left="0"/>
        <w:jc w:val="center"/>
        <w:rPr>
          <w:rFonts w:ascii="Calisto MT" w:hAnsi="Calisto MT" w:cs="Arabic Typesetting"/>
          <w:color w:val="262626" w:themeColor="text1" w:themeTint="D9"/>
          <w:spacing w:val="20"/>
        </w:rPr>
        <w:sectPr w:rsidR="00710690" w:rsidRPr="00081B7D" w:rsidSect="003D6DC2">
          <w:headerReference w:type="default" r:id="rId12"/>
          <w:type w:val="continuous"/>
          <w:pgSz w:w="11906" w:h="16838"/>
          <w:pgMar w:top="1417" w:right="1417" w:bottom="1417" w:left="1417" w:header="3" w:footer="191" w:gutter="0"/>
          <w:cols w:space="708"/>
          <w:docGrid w:linePitch="360"/>
        </w:sectPr>
      </w:pPr>
      <w:r w:rsidRPr="00081B7D">
        <w:rPr>
          <w:rFonts w:ascii="Calisto MT" w:hAnsi="Calisto MT" w:cs="Arabic Typesetting"/>
          <w:color w:val="262626" w:themeColor="text1" w:themeTint="D9"/>
          <w:spacing w:val="20"/>
          <w:sz w:val="24"/>
        </w:rPr>
        <w:t xml:space="preserve">Février – Août </w:t>
      </w:r>
      <w:r w:rsidR="00710690" w:rsidRPr="00081B7D">
        <w:rPr>
          <w:rFonts w:ascii="Calisto MT" w:hAnsi="Calisto MT" w:cs="Arabic Typesetting"/>
          <w:color w:val="262626" w:themeColor="text1" w:themeTint="D9"/>
          <w:spacing w:val="20"/>
        </w:rPr>
        <w:t>2017</w:t>
      </w:r>
    </w:p>
    <w:sdt>
      <w:sdtPr>
        <w:rPr>
          <w:rFonts w:ascii="Calisto MT" w:hAnsi="Calisto MT"/>
        </w:rPr>
        <w:id w:val="-284657555"/>
        <w:docPartObj>
          <w:docPartGallery w:val="Table of Contents"/>
          <w:docPartUnique/>
        </w:docPartObj>
      </w:sdtPr>
      <w:sdtContent>
        <w:p w:rsidR="005D635F" w:rsidRPr="00081B7D" w:rsidRDefault="005D635F" w:rsidP="000E7451">
          <w:pPr>
            <w:ind w:left="0"/>
            <w:rPr>
              <w:rStyle w:val="Heading1Char"/>
              <w:rFonts w:eastAsiaTheme="majorEastAsia"/>
            </w:rPr>
          </w:pPr>
          <w:r w:rsidRPr="00081B7D">
            <w:rPr>
              <w:rStyle w:val="Heading1Char"/>
              <w:rFonts w:eastAsiaTheme="majorEastAsia"/>
            </w:rPr>
            <w:t>Table des matières</w:t>
          </w:r>
        </w:p>
        <w:p w:rsidR="003F4AC0" w:rsidRDefault="007E2F79">
          <w:pPr>
            <w:pStyle w:val="TOC1"/>
            <w:tabs>
              <w:tab w:val="right" w:leader="dot" w:pos="9062"/>
            </w:tabs>
            <w:rPr>
              <w:rFonts w:eastAsiaTheme="minorEastAsia" w:cstheme="minorBidi"/>
              <w:b w:val="0"/>
              <w:bCs w:val="0"/>
              <w:i w:val="0"/>
              <w:iCs w:val="0"/>
              <w:noProof/>
              <w:sz w:val="22"/>
              <w:szCs w:val="22"/>
              <w:lang w:eastAsia="fr-FR"/>
            </w:rPr>
          </w:pPr>
          <w:r w:rsidRPr="007E2F79">
            <w:rPr>
              <w:rFonts w:ascii="Calisto MT" w:hAnsi="Calisto MT"/>
            </w:rPr>
            <w:fldChar w:fldCharType="begin"/>
          </w:r>
          <w:r w:rsidR="005D635F" w:rsidRPr="00081B7D">
            <w:rPr>
              <w:rFonts w:ascii="Calisto MT" w:hAnsi="Calisto MT"/>
            </w:rPr>
            <w:instrText xml:space="preserve"> TOC \o "1-3" \h \z \u </w:instrText>
          </w:r>
          <w:r w:rsidRPr="007E2F79">
            <w:rPr>
              <w:rFonts w:ascii="Calisto MT" w:hAnsi="Calisto MT"/>
            </w:rPr>
            <w:fldChar w:fldCharType="separate"/>
          </w:r>
          <w:hyperlink w:anchor="_Toc494147777" w:history="1">
            <w:r w:rsidR="003F4AC0" w:rsidRPr="00CE414F">
              <w:rPr>
                <w:rStyle w:val="Hyperlink"/>
                <w:noProof/>
              </w:rPr>
              <w:t>Table des figures</w:t>
            </w:r>
            <w:r w:rsidR="003F4AC0">
              <w:rPr>
                <w:noProof/>
                <w:webHidden/>
              </w:rPr>
              <w:tab/>
            </w:r>
            <w:r w:rsidR="003F4AC0">
              <w:rPr>
                <w:noProof/>
                <w:webHidden/>
              </w:rPr>
              <w:fldChar w:fldCharType="begin"/>
            </w:r>
            <w:r w:rsidR="003F4AC0">
              <w:rPr>
                <w:noProof/>
                <w:webHidden/>
              </w:rPr>
              <w:instrText xml:space="preserve"> PAGEREF _Toc494147777 \h </w:instrText>
            </w:r>
            <w:r w:rsidR="003F4AC0">
              <w:rPr>
                <w:noProof/>
                <w:webHidden/>
              </w:rPr>
            </w:r>
            <w:r w:rsidR="003F4AC0">
              <w:rPr>
                <w:noProof/>
                <w:webHidden/>
              </w:rPr>
              <w:fldChar w:fldCharType="separate"/>
            </w:r>
            <w:r w:rsidR="003F4AC0">
              <w:rPr>
                <w:noProof/>
                <w:webHidden/>
              </w:rPr>
              <w:t>4</w:t>
            </w:r>
            <w:r w:rsidR="003F4AC0">
              <w:rPr>
                <w:noProof/>
                <w:webHidden/>
              </w:rPr>
              <w:fldChar w:fldCharType="end"/>
            </w:r>
          </w:hyperlink>
        </w:p>
        <w:p w:rsidR="003F4AC0" w:rsidRDefault="003F4AC0">
          <w:pPr>
            <w:pStyle w:val="TOC1"/>
            <w:tabs>
              <w:tab w:val="right" w:leader="dot" w:pos="9062"/>
            </w:tabs>
            <w:rPr>
              <w:rFonts w:eastAsiaTheme="minorEastAsia" w:cstheme="minorBidi"/>
              <w:b w:val="0"/>
              <w:bCs w:val="0"/>
              <w:i w:val="0"/>
              <w:iCs w:val="0"/>
              <w:noProof/>
              <w:sz w:val="22"/>
              <w:szCs w:val="22"/>
              <w:lang w:eastAsia="fr-FR"/>
            </w:rPr>
          </w:pPr>
          <w:hyperlink w:anchor="_Toc494147778" w:history="1">
            <w:r w:rsidRPr="00CE414F">
              <w:rPr>
                <w:rStyle w:val="Hyperlink"/>
                <w:noProof/>
              </w:rPr>
              <w:t>Remerciements</w:t>
            </w:r>
            <w:r>
              <w:rPr>
                <w:noProof/>
                <w:webHidden/>
              </w:rPr>
              <w:tab/>
            </w:r>
            <w:r>
              <w:rPr>
                <w:noProof/>
                <w:webHidden/>
              </w:rPr>
              <w:fldChar w:fldCharType="begin"/>
            </w:r>
            <w:r>
              <w:rPr>
                <w:noProof/>
                <w:webHidden/>
              </w:rPr>
              <w:instrText xml:space="preserve"> PAGEREF _Toc494147778 \h </w:instrText>
            </w:r>
            <w:r>
              <w:rPr>
                <w:noProof/>
                <w:webHidden/>
              </w:rPr>
            </w:r>
            <w:r>
              <w:rPr>
                <w:noProof/>
                <w:webHidden/>
              </w:rPr>
              <w:fldChar w:fldCharType="separate"/>
            </w:r>
            <w:r>
              <w:rPr>
                <w:noProof/>
                <w:webHidden/>
              </w:rPr>
              <w:t>5</w:t>
            </w:r>
            <w:r>
              <w:rPr>
                <w:noProof/>
                <w:webHidden/>
              </w:rPr>
              <w:fldChar w:fldCharType="end"/>
            </w:r>
          </w:hyperlink>
        </w:p>
        <w:p w:rsidR="003F4AC0" w:rsidRDefault="003F4AC0">
          <w:pPr>
            <w:pStyle w:val="TOC1"/>
            <w:tabs>
              <w:tab w:val="right" w:leader="dot" w:pos="9062"/>
            </w:tabs>
            <w:rPr>
              <w:rFonts w:eastAsiaTheme="minorEastAsia" w:cstheme="minorBidi"/>
              <w:b w:val="0"/>
              <w:bCs w:val="0"/>
              <w:i w:val="0"/>
              <w:iCs w:val="0"/>
              <w:noProof/>
              <w:sz w:val="22"/>
              <w:szCs w:val="22"/>
              <w:lang w:eastAsia="fr-FR"/>
            </w:rPr>
          </w:pPr>
          <w:hyperlink w:anchor="_Toc494147779" w:history="1">
            <w:r w:rsidRPr="00CE414F">
              <w:rPr>
                <w:rStyle w:val="Hyperlink"/>
                <w:noProof/>
              </w:rPr>
              <w:t>Résumé</w:t>
            </w:r>
            <w:r>
              <w:rPr>
                <w:noProof/>
                <w:webHidden/>
              </w:rPr>
              <w:tab/>
            </w:r>
            <w:r>
              <w:rPr>
                <w:noProof/>
                <w:webHidden/>
              </w:rPr>
              <w:fldChar w:fldCharType="begin"/>
            </w:r>
            <w:r>
              <w:rPr>
                <w:noProof/>
                <w:webHidden/>
              </w:rPr>
              <w:instrText xml:space="preserve"> PAGEREF _Toc494147779 \h </w:instrText>
            </w:r>
            <w:r>
              <w:rPr>
                <w:noProof/>
                <w:webHidden/>
              </w:rPr>
            </w:r>
            <w:r>
              <w:rPr>
                <w:noProof/>
                <w:webHidden/>
              </w:rPr>
              <w:fldChar w:fldCharType="separate"/>
            </w:r>
            <w:r>
              <w:rPr>
                <w:noProof/>
                <w:webHidden/>
              </w:rPr>
              <w:t>6</w:t>
            </w:r>
            <w:r>
              <w:rPr>
                <w:noProof/>
                <w:webHidden/>
              </w:rPr>
              <w:fldChar w:fldCharType="end"/>
            </w:r>
          </w:hyperlink>
        </w:p>
        <w:p w:rsidR="003F4AC0" w:rsidRDefault="003F4AC0">
          <w:pPr>
            <w:pStyle w:val="TOC1"/>
            <w:tabs>
              <w:tab w:val="right" w:leader="dot" w:pos="9062"/>
            </w:tabs>
            <w:rPr>
              <w:rFonts w:eastAsiaTheme="minorEastAsia" w:cstheme="minorBidi"/>
              <w:b w:val="0"/>
              <w:bCs w:val="0"/>
              <w:i w:val="0"/>
              <w:iCs w:val="0"/>
              <w:noProof/>
              <w:sz w:val="22"/>
              <w:szCs w:val="22"/>
              <w:lang w:eastAsia="fr-FR"/>
            </w:rPr>
          </w:pPr>
          <w:hyperlink w:anchor="_Toc494147780" w:history="1">
            <w:r w:rsidRPr="00CE414F">
              <w:rPr>
                <w:rStyle w:val="Hyperlink"/>
                <w:noProof/>
              </w:rPr>
              <w:t>Introduction</w:t>
            </w:r>
            <w:r>
              <w:rPr>
                <w:noProof/>
                <w:webHidden/>
              </w:rPr>
              <w:tab/>
            </w:r>
            <w:r>
              <w:rPr>
                <w:noProof/>
                <w:webHidden/>
              </w:rPr>
              <w:fldChar w:fldCharType="begin"/>
            </w:r>
            <w:r>
              <w:rPr>
                <w:noProof/>
                <w:webHidden/>
              </w:rPr>
              <w:instrText xml:space="preserve"> PAGEREF _Toc494147780 \h </w:instrText>
            </w:r>
            <w:r>
              <w:rPr>
                <w:noProof/>
                <w:webHidden/>
              </w:rPr>
            </w:r>
            <w:r>
              <w:rPr>
                <w:noProof/>
                <w:webHidden/>
              </w:rPr>
              <w:fldChar w:fldCharType="separate"/>
            </w:r>
            <w:r>
              <w:rPr>
                <w:noProof/>
                <w:webHidden/>
              </w:rPr>
              <w:t>7</w:t>
            </w:r>
            <w:r>
              <w:rPr>
                <w:noProof/>
                <w:webHidden/>
              </w:rPr>
              <w:fldChar w:fldCharType="end"/>
            </w:r>
          </w:hyperlink>
        </w:p>
        <w:p w:rsidR="003F4AC0" w:rsidRDefault="003F4AC0">
          <w:pPr>
            <w:pStyle w:val="TOC1"/>
            <w:tabs>
              <w:tab w:val="left" w:pos="440"/>
              <w:tab w:val="right" w:leader="dot" w:pos="9062"/>
            </w:tabs>
            <w:rPr>
              <w:rFonts w:eastAsiaTheme="minorEastAsia" w:cstheme="minorBidi"/>
              <w:b w:val="0"/>
              <w:bCs w:val="0"/>
              <w:i w:val="0"/>
              <w:iCs w:val="0"/>
              <w:noProof/>
              <w:sz w:val="22"/>
              <w:szCs w:val="22"/>
              <w:lang w:eastAsia="fr-FR"/>
            </w:rPr>
          </w:pPr>
          <w:hyperlink w:anchor="_Toc494147781" w:history="1">
            <w:r w:rsidRPr="00CE414F">
              <w:rPr>
                <w:rStyle w:val="Hyperlink"/>
                <w:noProof/>
              </w:rPr>
              <w:t>1</w:t>
            </w:r>
            <w:r>
              <w:rPr>
                <w:rFonts w:eastAsiaTheme="minorEastAsia" w:cstheme="minorBidi"/>
                <w:b w:val="0"/>
                <w:bCs w:val="0"/>
                <w:i w:val="0"/>
                <w:iCs w:val="0"/>
                <w:noProof/>
                <w:sz w:val="22"/>
                <w:szCs w:val="22"/>
                <w:lang w:eastAsia="fr-FR"/>
              </w:rPr>
              <w:tab/>
            </w:r>
            <w:r w:rsidRPr="00CE414F">
              <w:rPr>
                <w:rStyle w:val="Hyperlink"/>
                <w:noProof/>
              </w:rPr>
              <w:t>Cadre du stage</w:t>
            </w:r>
            <w:r>
              <w:rPr>
                <w:noProof/>
                <w:webHidden/>
              </w:rPr>
              <w:tab/>
            </w:r>
            <w:r>
              <w:rPr>
                <w:noProof/>
                <w:webHidden/>
              </w:rPr>
              <w:fldChar w:fldCharType="begin"/>
            </w:r>
            <w:r>
              <w:rPr>
                <w:noProof/>
                <w:webHidden/>
              </w:rPr>
              <w:instrText xml:space="preserve"> PAGEREF _Toc494147781 \h </w:instrText>
            </w:r>
            <w:r>
              <w:rPr>
                <w:noProof/>
                <w:webHidden/>
              </w:rPr>
            </w:r>
            <w:r>
              <w:rPr>
                <w:noProof/>
                <w:webHidden/>
              </w:rPr>
              <w:fldChar w:fldCharType="separate"/>
            </w:r>
            <w:r>
              <w:rPr>
                <w:noProof/>
                <w:webHidden/>
              </w:rPr>
              <w:t>9</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782" w:history="1">
            <w:r w:rsidRPr="00CE414F">
              <w:rPr>
                <w:rStyle w:val="Hyperlink"/>
                <w:noProof/>
              </w:rPr>
              <w:t>1.1</w:t>
            </w:r>
            <w:r>
              <w:rPr>
                <w:rFonts w:eastAsiaTheme="minorEastAsia" w:cstheme="minorBidi"/>
                <w:b w:val="0"/>
                <w:bCs w:val="0"/>
                <w:noProof/>
                <w:szCs w:val="22"/>
                <w:lang w:eastAsia="fr-FR"/>
              </w:rPr>
              <w:tab/>
            </w:r>
            <w:r w:rsidRPr="00CE414F">
              <w:rPr>
                <w:rStyle w:val="Hyperlink"/>
                <w:noProof/>
              </w:rPr>
              <w:t>Présentation de l’entreprise</w:t>
            </w:r>
            <w:r>
              <w:rPr>
                <w:noProof/>
                <w:webHidden/>
              </w:rPr>
              <w:tab/>
            </w:r>
            <w:r>
              <w:rPr>
                <w:noProof/>
                <w:webHidden/>
              </w:rPr>
              <w:fldChar w:fldCharType="begin"/>
            </w:r>
            <w:r>
              <w:rPr>
                <w:noProof/>
                <w:webHidden/>
              </w:rPr>
              <w:instrText xml:space="preserve"> PAGEREF _Toc494147782 \h </w:instrText>
            </w:r>
            <w:r>
              <w:rPr>
                <w:noProof/>
                <w:webHidden/>
              </w:rPr>
            </w:r>
            <w:r>
              <w:rPr>
                <w:noProof/>
                <w:webHidden/>
              </w:rPr>
              <w:fldChar w:fldCharType="separate"/>
            </w:r>
            <w:r>
              <w:rPr>
                <w:noProof/>
                <w:webHidden/>
              </w:rPr>
              <w:t>9</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783" w:history="1">
            <w:r w:rsidRPr="00CE414F">
              <w:rPr>
                <w:rStyle w:val="Hyperlink"/>
                <w:noProof/>
              </w:rPr>
              <w:t>1.1.1</w:t>
            </w:r>
            <w:r>
              <w:rPr>
                <w:rFonts w:eastAsiaTheme="minorEastAsia" w:cstheme="minorBidi"/>
                <w:noProof/>
                <w:sz w:val="22"/>
                <w:szCs w:val="22"/>
                <w:lang w:eastAsia="fr-FR"/>
              </w:rPr>
              <w:tab/>
            </w:r>
            <w:r w:rsidRPr="00CE414F">
              <w:rPr>
                <w:rStyle w:val="Hyperlink"/>
                <w:noProof/>
              </w:rPr>
              <w:t>Présentation générale</w:t>
            </w:r>
            <w:r>
              <w:rPr>
                <w:noProof/>
                <w:webHidden/>
              </w:rPr>
              <w:tab/>
            </w:r>
            <w:r>
              <w:rPr>
                <w:noProof/>
                <w:webHidden/>
              </w:rPr>
              <w:fldChar w:fldCharType="begin"/>
            </w:r>
            <w:r>
              <w:rPr>
                <w:noProof/>
                <w:webHidden/>
              </w:rPr>
              <w:instrText xml:space="preserve"> PAGEREF _Toc494147783 \h </w:instrText>
            </w:r>
            <w:r>
              <w:rPr>
                <w:noProof/>
                <w:webHidden/>
              </w:rPr>
            </w:r>
            <w:r>
              <w:rPr>
                <w:noProof/>
                <w:webHidden/>
              </w:rPr>
              <w:fldChar w:fldCharType="separate"/>
            </w:r>
            <w:r>
              <w:rPr>
                <w:noProof/>
                <w:webHidden/>
              </w:rPr>
              <w:t>9</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784" w:history="1">
            <w:r w:rsidRPr="00CE414F">
              <w:rPr>
                <w:rStyle w:val="Hyperlink"/>
                <w:noProof/>
              </w:rPr>
              <w:t>1.1.2</w:t>
            </w:r>
            <w:r>
              <w:rPr>
                <w:rFonts w:eastAsiaTheme="minorEastAsia" w:cstheme="minorBidi"/>
                <w:noProof/>
                <w:sz w:val="22"/>
                <w:szCs w:val="22"/>
                <w:lang w:eastAsia="fr-FR"/>
              </w:rPr>
              <w:tab/>
            </w:r>
            <w:r w:rsidRPr="00CE414F">
              <w:rPr>
                <w:rStyle w:val="Hyperlink"/>
                <w:noProof/>
              </w:rPr>
              <w:t>Résultats financiers au T2 de 2017</w:t>
            </w:r>
            <w:r>
              <w:rPr>
                <w:noProof/>
                <w:webHidden/>
              </w:rPr>
              <w:tab/>
            </w:r>
            <w:r>
              <w:rPr>
                <w:noProof/>
                <w:webHidden/>
              </w:rPr>
              <w:fldChar w:fldCharType="begin"/>
            </w:r>
            <w:r>
              <w:rPr>
                <w:noProof/>
                <w:webHidden/>
              </w:rPr>
              <w:instrText xml:space="preserve"> PAGEREF _Toc494147784 \h </w:instrText>
            </w:r>
            <w:r>
              <w:rPr>
                <w:noProof/>
                <w:webHidden/>
              </w:rPr>
            </w:r>
            <w:r>
              <w:rPr>
                <w:noProof/>
                <w:webHidden/>
              </w:rPr>
              <w:fldChar w:fldCharType="separate"/>
            </w:r>
            <w:r>
              <w:rPr>
                <w:noProof/>
                <w:webHidden/>
              </w:rPr>
              <w:t>10</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785" w:history="1">
            <w:r w:rsidRPr="00CE414F">
              <w:rPr>
                <w:rStyle w:val="Hyperlink"/>
                <w:noProof/>
              </w:rPr>
              <w:t>1.2</w:t>
            </w:r>
            <w:r>
              <w:rPr>
                <w:rFonts w:eastAsiaTheme="minorEastAsia" w:cstheme="minorBidi"/>
                <w:b w:val="0"/>
                <w:bCs w:val="0"/>
                <w:noProof/>
                <w:szCs w:val="22"/>
                <w:lang w:eastAsia="fr-FR"/>
              </w:rPr>
              <w:tab/>
            </w:r>
            <w:r w:rsidRPr="00CE414F">
              <w:rPr>
                <w:rStyle w:val="Hyperlink"/>
                <w:noProof/>
              </w:rPr>
              <w:t>Présentation d’OPER CCR</w:t>
            </w:r>
            <w:r>
              <w:rPr>
                <w:noProof/>
                <w:webHidden/>
              </w:rPr>
              <w:tab/>
            </w:r>
            <w:r>
              <w:rPr>
                <w:noProof/>
                <w:webHidden/>
              </w:rPr>
              <w:fldChar w:fldCharType="begin"/>
            </w:r>
            <w:r>
              <w:rPr>
                <w:noProof/>
                <w:webHidden/>
              </w:rPr>
              <w:instrText xml:space="preserve"> PAGEREF _Toc494147785 \h </w:instrText>
            </w:r>
            <w:r>
              <w:rPr>
                <w:noProof/>
                <w:webHidden/>
              </w:rPr>
            </w:r>
            <w:r>
              <w:rPr>
                <w:noProof/>
                <w:webHidden/>
              </w:rPr>
              <w:fldChar w:fldCharType="separate"/>
            </w:r>
            <w:r>
              <w:rPr>
                <w:noProof/>
                <w:webHidden/>
              </w:rPr>
              <w:t>13</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786" w:history="1">
            <w:r w:rsidRPr="00CE414F">
              <w:rPr>
                <w:rStyle w:val="Hyperlink"/>
                <w:noProof/>
              </w:rPr>
              <w:t>1.2.1</w:t>
            </w:r>
            <w:r>
              <w:rPr>
                <w:rFonts w:eastAsiaTheme="minorEastAsia" w:cstheme="minorBidi"/>
                <w:noProof/>
                <w:sz w:val="22"/>
                <w:szCs w:val="22"/>
                <w:lang w:eastAsia="fr-FR"/>
              </w:rPr>
              <w:tab/>
            </w:r>
            <w:r w:rsidRPr="00CE414F">
              <w:rPr>
                <w:rStyle w:val="Hyperlink"/>
                <w:noProof/>
              </w:rPr>
              <w:t>Banque de Financement et d’investissement GBIS</w:t>
            </w:r>
            <w:r>
              <w:rPr>
                <w:noProof/>
                <w:webHidden/>
              </w:rPr>
              <w:tab/>
            </w:r>
            <w:r>
              <w:rPr>
                <w:noProof/>
                <w:webHidden/>
              </w:rPr>
              <w:fldChar w:fldCharType="begin"/>
            </w:r>
            <w:r>
              <w:rPr>
                <w:noProof/>
                <w:webHidden/>
              </w:rPr>
              <w:instrText xml:space="preserve"> PAGEREF _Toc494147786 \h </w:instrText>
            </w:r>
            <w:r>
              <w:rPr>
                <w:noProof/>
                <w:webHidden/>
              </w:rPr>
            </w:r>
            <w:r>
              <w:rPr>
                <w:noProof/>
                <w:webHidden/>
              </w:rPr>
              <w:fldChar w:fldCharType="separate"/>
            </w:r>
            <w:r>
              <w:rPr>
                <w:noProof/>
                <w:webHidden/>
              </w:rPr>
              <w:t>13</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787" w:history="1">
            <w:r w:rsidRPr="00CE414F">
              <w:rPr>
                <w:rStyle w:val="Hyperlink"/>
                <w:noProof/>
              </w:rPr>
              <w:t>1.2.2</w:t>
            </w:r>
            <w:r>
              <w:rPr>
                <w:rFonts w:eastAsiaTheme="minorEastAsia" w:cstheme="minorBidi"/>
                <w:noProof/>
                <w:sz w:val="22"/>
                <w:szCs w:val="22"/>
                <w:lang w:eastAsia="fr-FR"/>
              </w:rPr>
              <w:tab/>
            </w:r>
            <w:r w:rsidRPr="00CE414F">
              <w:rPr>
                <w:rStyle w:val="Hyperlink"/>
                <w:noProof/>
              </w:rPr>
              <w:t>Oper Ccr</w:t>
            </w:r>
            <w:r>
              <w:rPr>
                <w:noProof/>
                <w:webHidden/>
              </w:rPr>
              <w:tab/>
            </w:r>
            <w:r>
              <w:rPr>
                <w:noProof/>
                <w:webHidden/>
              </w:rPr>
              <w:fldChar w:fldCharType="begin"/>
            </w:r>
            <w:r>
              <w:rPr>
                <w:noProof/>
                <w:webHidden/>
              </w:rPr>
              <w:instrText xml:space="preserve"> PAGEREF _Toc494147787 \h </w:instrText>
            </w:r>
            <w:r>
              <w:rPr>
                <w:noProof/>
                <w:webHidden/>
              </w:rPr>
            </w:r>
            <w:r>
              <w:rPr>
                <w:noProof/>
                <w:webHidden/>
              </w:rPr>
              <w:fldChar w:fldCharType="separate"/>
            </w:r>
            <w:r>
              <w:rPr>
                <w:noProof/>
                <w:webHidden/>
              </w:rPr>
              <w:t>13</w:t>
            </w:r>
            <w:r>
              <w:rPr>
                <w:noProof/>
                <w:webHidden/>
              </w:rPr>
              <w:fldChar w:fldCharType="end"/>
            </w:r>
          </w:hyperlink>
        </w:p>
        <w:p w:rsidR="003F4AC0" w:rsidRDefault="003F4AC0">
          <w:pPr>
            <w:pStyle w:val="TOC1"/>
            <w:tabs>
              <w:tab w:val="left" w:pos="440"/>
              <w:tab w:val="right" w:leader="dot" w:pos="9062"/>
            </w:tabs>
            <w:rPr>
              <w:rFonts w:eastAsiaTheme="minorEastAsia" w:cstheme="minorBidi"/>
              <w:b w:val="0"/>
              <w:bCs w:val="0"/>
              <w:i w:val="0"/>
              <w:iCs w:val="0"/>
              <w:noProof/>
              <w:sz w:val="22"/>
              <w:szCs w:val="22"/>
              <w:lang w:eastAsia="fr-FR"/>
            </w:rPr>
          </w:pPr>
          <w:hyperlink w:anchor="_Toc494147788" w:history="1">
            <w:r w:rsidRPr="00CE414F">
              <w:rPr>
                <w:rStyle w:val="Hyperlink"/>
                <w:noProof/>
              </w:rPr>
              <w:t>2</w:t>
            </w:r>
            <w:r>
              <w:rPr>
                <w:rFonts w:eastAsiaTheme="minorEastAsia" w:cstheme="minorBidi"/>
                <w:b w:val="0"/>
                <w:bCs w:val="0"/>
                <w:i w:val="0"/>
                <w:iCs w:val="0"/>
                <w:noProof/>
                <w:sz w:val="22"/>
                <w:szCs w:val="22"/>
                <w:lang w:eastAsia="fr-FR"/>
              </w:rPr>
              <w:tab/>
            </w:r>
            <w:r w:rsidRPr="00CE414F">
              <w:rPr>
                <w:rStyle w:val="Hyperlink"/>
                <w:noProof/>
              </w:rPr>
              <w:t>Gestion du Collatéral face Risque de Contrepartie</w:t>
            </w:r>
            <w:r>
              <w:rPr>
                <w:noProof/>
                <w:webHidden/>
              </w:rPr>
              <w:tab/>
            </w:r>
            <w:r>
              <w:rPr>
                <w:noProof/>
                <w:webHidden/>
              </w:rPr>
              <w:fldChar w:fldCharType="begin"/>
            </w:r>
            <w:r>
              <w:rPr>
                <w:noProof/>
                <w:webHidden/>
              </w:rPr>
              <w:instrText xml:space="preserve"> PAGEREF _Toc494147788 \h </w:instrText>
            </w:r>
            <w:r>
              <w:rPr>
                <w:noProof/>
                <w:webHidden/>
              </w:rPr>
            </w:r>
            <w:r>
              <w:rPr>
                <w:noProof/>
                <w:webHidden/>
              </w:rPr>
              <w:fldChar w:fldCharType="separate"/>
            </w:r>
            <w:r>
              <w:rPr>
                <w:noProof/>
                <w:webHidden/>
              </w:rPr>
              <w:t>15</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789" w:history="1">
            <w:r w:rsidRPr="00CE414F">
              <w:rPr>
                <w:rStyle w:val="Hyperlink"/>
                <w:noProof/>
              </w:rPr>
              <w:t>2.1</w:t>
            </w:r>
            <w:r>
              <w:rPr>
                <w:rFonts w:eastAsiaTheme="minorEastAsia" w:cstheme="minorBidi"/>
                <w:b w:val="0"/>
                <w:bCs w:val="0"/>
                <w:noProof/>
                <w:szCs w:val="22"/>
                <w:lang w:eastAsia="fr-FR"/>
              </w:rPr>
              <w:tab/>
            </w:r>
            <w:r w:rsidRPr="00CE414F">
              <w:rPr>
                <w:rStyle w:val="Hyperlink"/>
                <w:noProof/>
              </w:rPr>
              <w:t>Le collatéral</w:t>
            </w:r>
            <w:r>
              <w:rPr>
                <w:noProof/>
                <w:webHidden/>
              </w:rPr>
              <w:tab/>
            </w:r>
            <w:r>
              <w:rPr>
                <w:noProof/>
                <w:webHidden/>
              </w:rPr>
              <w:fldChar w:fldCharType="begin"/>
            </w:r>
            <w:r>
              <w:rPr>
                <w:noProof/>
                <w:webHidden/>
              </w:rPr>
              <w:instrText xml:space="preserve"> PAGEREF _Toc494147789 \h </w:instrText>
            </w:r>
            <w:r>
              <w:rPr>
                <w:noProof/>
                <w:webHidden/>
              </w:rPr>
            </w:r>
            <w:r>
              <w:rPr>
                <w:noProof/>
                <w:webHidden/>
              </w:rPr>
              <w:fldChar w:fldCharType="separate"/>
            </w:r>
            <w:r>
              <w:rPr>
                <w:noProof/>
                <w:webHidden/>
              </w:rPr>
              <w:t>15</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790" w:history="1">
            <w:r w:rsidRPr="00CE414F">
              <w:rPr>
                <w:rStyle w:val="Hyperlink"/>
                <w:noProof/>
              </w:rPr>
              <w:t>2.2</w:t>
            </w:r>
            <w:r>
              <w:rPr>
                <w:rFonts w:eastAsiaTheme="minorEastAsia" w:cstheme="minorBidi"/>
                <w:b w:val="0"/>
                <w:bCs w:val="0"/>
                <w:noProof/>
                <w:szCs w:val="22"/>
                <w:lang w:eastAsia="fr-FR"/>
              </w:rPr>
              <w:tab/>
            </w:r>
            <w:r w:rsidRPr="00CE414F">
              <w:rPr>
                <w:rStyle w:val="Hyperlink"/>
                <w:noProof/>
              </w:rPr>
              <w:t>Le Repo</w:t>
            </w:r>
            <w:r>
              <w:rPr>
                <w:noProof/>
                <w:webHidden/>
              </w:rPr>
              <w:tab/>
            </w:r>
            <w:r>
              <w:rPr>
                <w:noProof/>
                <w:webHidden/>
              </w:rPr>
              <w:fldChar w:fldCharType="begin"/>
            </w:r>
            <w:r>
              <w:rPr>
                <w:noProof/>
                <w:webHidden/>
              </w:rPr>
              <w:instrText xml:space="preserve"> PAGEREF _Toc494147790 \h </w:instrText>
            </w:r>
            <w:r>
              <w:rPr>
                <w:noProof/>
                <w:webHidden/>
              </w:rPr>
            </w:r>
            <w:r>
              <w:rPr>
                <w:noProof/>
                <w:webHidden/>
              </w:rPr>
              <w:fldChar w:fldCharType="separate"/>
            </w:r>
            <w:r>
              <w:rPr>
                <w:noProof/>
                <w:webHidden/>
              </w:rPr>
              <w:t>18</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791" w:history="1">
            <w:r w:rsidRPr="00CE414F">
              <w:rPr>
                <w:rStyle w:val="Hyperlink"/>
                <w:noProof/>
              </w:rPr>
              <w:t>2.3</w:t>
            </w:r>
            <w:r>
              <w:rPr>
                <w:rFonts w:eastAsiaTheme="minorEastAsia" w:cstheme="minorBidi"/>
                <w:b w:val="0"/>
                <w:bCs w:val="0"/>
                <w:noProof/>
                <w:szCs w:val="22"/>
                <w:lang w:eastAsia="fr-FR"/>
              </w:rPr>
              <w:tab/>
            </w:r>
            <w:r w:rsidRPr="00CE414F">
              <w:rPr>
                <w:rStyle w:val="Hyperlink"/>
                <w:noProof/>
              </w:rPr>
              <w:t>Le Prêt Emprunt</w:t>
            </w:r>
            <w:r>
              <w:rPr>
                <w:noProof/>
                <w:webHidden/>
              </w:rPr>
              <w:tab/>
            </w:r>
            <w:r>
              <w:rPr>
                <w:noProof/>
                <w:webHidden/>
              </w:rPr>
              <w:fldChar w:fldCharType="begin"/>
            </w:r>
            <w:r>
              <w:rPr>
                <w:noProof/>
                <w:webHidden/>
              </w:rPr>
              <w:instrText xml:space="preserve"> PAGEREF _Toc494147791 \h </w:instrText>
            </w:r>
            <w:r>
              <w:rPr>
                <w:noProof/>
                <w:webHidden/>
              </w:rPr>
            </w:r>
            <w:r>
              <w:rPr>
                <w:noProof/>
                <w:webHidden/>
              </w:rPr>
              <w:fldChar w:fldCharType="separate"/>
            </w:r>
            <w:r>
              <w:rPr>
                <w:noProof/>
                <w:webHidden/>
              </w:rPr>
              <w:t>19</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792" w:history="1">
            <w:r w:rsidRPr="00CE414F">
              <w:rPr>
                <w:rStyle w:val="Hyperlink"/>
                <w:noProof/>
              </w:rPr>
              <w:t>2.4</w:t>
            </w:r>
            <w:r>
              <w:rPr>
                <w:rFonts w:eastAsiaTheme="minorEastAsia" w:cstheme="minorBidi"/>
                <w:b w:val="0"/>
                <w:bCs w:val="0"/>
                <w:noProof/>
                <w:szCs w:val="22"/>
                <w:lang w:eastAsia="fr-FR"/>
              </w:rPr>
              <w:tab/>
            </w:r>
            <w:r w:rsidRPr="00CE414F">
              <w:rPr>
                <w:rStyle w:val="Hyperlink"/>
                <w:noProof/>
              </w:rPr>
              <w:t>Les chambres de compensation et agents triparti</w:t>
            </w:r>
            <w:r>
              <w:rPr>
                <w:noProof/>
                <w:webHidden/>
              </w:rPr>
              <w:tab/>
            </w:r>
            <w:r>
              <w:rPr>
                <w:noProof/>
                <w:webHidden/>
              </w:rPr>
              <w:fldChar w:fldCharType="begin"/>
            </w:r>
            <w:r>
              <w:rPr>
                <w:noProof/>
                <w:webHidden/>
              </w:rPr>
              <w:instrText xml:space="preserve"> PAGEREF _Toc494147792 \h </w:instrText>
            </w:r>
            <w:r>
              <w:rPr>
                <w:noProof/>
                <w:webHidden/>
              </w:rPr>
            </w:r>
            <w:r>
              <w:rPr>
                <w:noProof/>
                <w:webHidden/>
              </w:rPr>
              <w:fldChar w:fldCharType="separate"/>
            </w:r>
            <w:r>
              <w:rPr>
                <w:noProof/>
                <w:webHidden/>
              </w:rPr>
              <w:t>20</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793" w:history="1">
            <w:r w:rsidRPr="00CE414F">
              <w:rPr>
                <w:rStyle w:val="Hyperlink"/>
                <w:noProof/>
              </w:rPr>
              <w:t>2.5</w:t>
            </w:r>
            <w:r>
              <w:rPr>
                <w:rFonts w:eastAsiaTheme="minorEastAsia" w:cstheme="minorBidi"/>
                <w:b w:val="0"/>
                <w:bCs w:val="0"/>
                <w:noProof/>
                <w:szCs w:val="22"/>
                <w:lang w:eastAsia="fr-FR"/>
              </w:rPr>
              <w:tab/>
            </w:r>
            <w:r w:rsidRPr="00CE414F">
              <w:rPr>
                <w:rStyle w:val="Hyperlink"/>
                <w:noProof/>
              </w:rPr>
              <w:t>Le Risque de Contrepartie</w:t>
            </w:r>
            <w:r>
              <w:rPr>
                <w:noProof/>
                <w:webHidden/>
              </w:rPr>
              <w:tab/>
            </w:r>
            <w:r>
              <w:rPr>
                <w:noProof/>
                <w:webHidden/>
              </w:rPr>
              <w:fldChar w:fldCharType="begin"/>
            </w:r>
            <w:r>
              <w:rPr>
                <w:noProof/>
                <w:webHidden/>
              </w:rPr>
              <w:instrText xml:space="preserve"> PAGEREF _Toc494147793 \h </w:instrText>
            </w:r>
            <w:r>
              <w:rPr>
                <w:noProof/>
                <w:webHidden/>
              </w:rPr>
            </w:r>
            <w:r>
              <w:rPr>
                <w:noProof/>
                <w:webHidden/>
              </w:rPr>
              <w:fldChar w:fldCharType="separate"/>
            </w:r>
            <w:r>
              <w:rPr>
                <w:noProof/>
                <w:webHidden/>
              </w:rPr>
              <w:t>22</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794" w:history="1">
            <w:r w:rsidRPr="00CE414F">
              <w:rPr>
                <w:rStyle w:val="Hyperlink"/>
                <w:noProof/>
              </w:rPr>
              <w:t>2.5.1</w:t>
            </w:r>
            <w:r>
              <w:rPr>
                <w:rFonts w:eastAsiaTheme="minorEastAsia" w:cstheme="minorBidi"/>
                <w:noProof/>
                <w:sz w:val="22"/>
                <w:szCs w:val="22"/>
                <w:lang w:eastAsia="fr-FR"/>
              </w:rPr>
              <w:tab/>
            </w:r>
            <w:r w:rsidRPr="00CE414F">
              <w:rPr>
                <w:rStyle w:val="Hyperlink"/>
                <w:noProof/>
              </w:rPr>
              <w:t>Mise en situation</w:t>
            </w:r>
            <w:r>
              <w:rPr>
                <w:noProof/>
                <w:webHidden/>
              </w:rPr>
              <w:tab/>
            </w:r>
            <w:r>
              <w:rPr>
                <w:noProof/>
                <w:webHidden/>
              </w:rPr>
              <w:fldChar w:fldCharType="begin"/>
            </w:r>
            <w:r>
              <w:rPr>
                <w:noProof/>
                <w:webHidden/>
              </w:rPr>
              <w:instrText xml:space="preserve"> PAGEREF _Toc494147794 \h </w:instrText>
            </w:r>
            <w:r>
              <w:rPr>
                <w:noProof/>
                <w:webHidden/>
              </w:rPr>
            </w:r>
            <w:r>
              <w:rPr>
                <w:noProof/>
                <w:webHidden/>
              </w:rPr>
              <w:fldChar w:fldCharType="separate"/>
            </w:r>
            <w:r>
              <w:rPr>
                <w:noProof/>
                <w:webHidden/>
              </w:rPr>
              <w:t>23</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795" w:history="1">
            <w:r w:rsidRPr="00CE414F">
              <w:rPr>
                <w:rStyle w:val="Hyperlink"/>
                <w:noProof/>
              </w:rPr>
              <w:t>2.5.2</w:t>
            </w:r>
            <w:r>
              <w:rPr>
                <w:rFonts w:eastAsiaTheme="minorEastAsia" w:cstheme="minorBidi"/>
                <w:noProof/>
                <w:sz w:val="22"/>
                <w:szCs w:val="22"/>
                <w:lang w:eastAsia="fr-FR"/>
              </w:rPr>
              <w:tab/>
            </w:r>
            <w:r w:rsidRPr="00CE414F">
              <w:rPr>
                <w:rStyle w:val="Hyperlink"/>
                <w:noProof/>
              </w:rPr>
              <w:t>Modèle du collateral</w:t>
            </w:r>
            <w:r>
              <w:rPr>
                <w:noProof/>
                <w:webHidden/>
              </w:rPr>
              <w:tab/>
            </w:r>
            <w:r>
              <w:rPr>
                <w:noProof/>
                <w:webHidden/>
              </w:rPr>
              <w:fldChar w:fldCharType="begin"/>
            </w:r>
            <w:r>
              <w:rPr>
                <w:noProof/>
                <w:webHidden/>
              </w:rPr>
              <w:instrText xml:space="preserve"> PAGEREF _Toc494147795 \h </w:instrText>
            </w:r>
            <w:r>
              <w:rPr>
                <w:noProof/>
                <w:webHidden/>
              </w:rPr>
            </w:r>
            <w:r>
              <w:rPr>
                <w:noProof/>
                <w:webHidden/>
              </w:rPr>
              <w:fldChar w:fldCharType="separate"/>
            </w:r>
            <w:r>
              <w:rPr>
                <w:noProof/>
                <w:webHidden/>
              </w:rPr>
              <w:t>23</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796" w:history="1">
            <w:r w:rsidRPr="00CE414F">
              <w:rPr>
                <w:rStyle w:val="Hyperlink"/>
                <w:noProof/>
              </w:rPr>
              <w:t>2.5.3</w:t>
            </w:r>
            <w:r>
              <w:rPr>
                <w:rFonts w:eastAsiaTheme="minorEastAsia" w:cstheme="minorBidi"/>
                <w:noProof/>
                <w:sz w:val="22"/>
                <w:szCs w:val="22"/>
                <w:lang w:eastAsia="fr-FR"/>
              </w:rPr>
              <w:tab/>
            </w:r>
            <w:r w:rsidRPr="00CE414F">
              <w:rPr>
                <w:rStyle w:val="Hyperlink"/>
                <w:noProof/>
              </w:rPr>
              <w:t>Simulation</w:t>
            </w:r>
            <w:r>
              <w:rPr>
                <w:noProof/>
                <w:webHidden/>
              </w:rPr>
              <w:tab/>
            </w:r>
            <w:r>
              <w:rPr>
                <w:noProof/>
                <w:webHidden/>
              </w:rPr>
              <w:fldChar w:fldCharType="begin"/>
            </w:r>
            <w:r>
              <w:rPr>
                <w:noProof/>
                <w:webHidden/>
              </w:rPr>
              <w:instrText xml:space="preserve"> PAGEREF _Toc494147796 \h </w:instrText>
            </w:r>
            <w:r>
              <w:rPr>
                <w:noProof/>
                <w:webHidden/>
              </w:rPr>
            </w:r>
            <w:r>
              <w:rPr>
                <w:noProof/>
                <w:webHidden/>
              </w:rPr>
              <w:fldChar w:fldCharType="separate"/>
            </w:r>
            <w:r>
              <w:rPr>
                <w:noProof/>
                <w:webHidden/>
              </w:rPr>
              <w:t>30</w:t>
            </w:r>
            <w:r>
              <w:rPr>
                <w:noProof/>
                <w:webHidden/>
              </w:rPr>
              <w:fldChar w:fldCharType="end"/>
            </w:r>
          </w:hyperlink>
        </w:p>
        <w:p w:rsidR="003F4AC0" w:rsidRDefault="003F4AC0">
          <w:pPr>
            <w:pStyle w:val="TOC1"/>
            <w:tabs>
              <w:tab w:val="left" w:pos="440"/>
              <w:tab w:val="right" w:leader="dot" w:pos="9062"/>
            </w:tabs>
            <w:rPr>
              <w:rFonts w:eastAsiaTheme="minorEastAsia" w:cstheme="minorBidi"/>
              <w:b w:val="0"/>
              <w:bCs w:val="0"/>
              <w:i w:val="0"/>
              <w:iCs w:val="0"/>
              <w:noProof/>
              <w:sz w:val="22"/>
              <w:szCs w:val="22"/>
              <w:lang w:eastAsia="fr-FR"/>
            </w:rPr>
          </w:pPr>
          <w:hyperlink w:anchor="_Toc494147797" w:history="1">
            <w:r w:rsidRPr="00CE414F">
              <w:rPr>
                <w:rStyle w:val="Hyperlink"/>
                <w:noProof/>
              </w:rPr>
              <w:t>3</w:t>
            </w:r>
            <w:r>
              <w:rPr>
                <w:rFonts w:eastAsiaTheme="minorEastAsia" w:cstheme="minorBidi"/>
                <w:b w:val="0"/>
                <w:bCs w:val="0"/>
                <w:i w:val="0"/>
                <w:iCs w:val="0"/>
                <w:noProof/>
                <w:sz w:val="22"/>
                <w:szCs w:val="22"/>
                <w:lang w:eastAsia="fr-FR"/>
              </w:rPr>
              <w:tab/>
            </w:r>
            <w:r w:rsidRPr="00CE414F">
              <w:rPr>
                <w:rStyle w:val="Hyperlink"/>
                <w:noProof/>
              </w:rPr>
              <w:t>Missions et projets</w:t>
            </w:r>
            <w:r>
              <w:rPr>
                <w:noProof/>
                <w:webHidden/>
              </w:rPr>
              <w:tab/>
            </w:r>
            <w:r>
              <w:rPr>
                <w:noProof/>
                <w:webHidden/>
              </w:rPr>
              <w:fldChar w:fldCharType="begin"/>
            </w:r>
            <w:r>
              <w:rPr>
                <w:noProof/>
                <w:webHidden/>
              </w:rPr>
              <w:instrText xml:space="preserve"> PAGEREF _Toc494147797 \h </w:instrText>
            </w:r>
            <w:r>
              <w:rPr>
                <w:noProof/>
                <w:webHidden/>
              </w:rPr>
            </w:r>
            <w:r>
              <w:rPr>
                <w:noProof/>
                <w:webHidden/>
              </w:rPr>
              <w:fldChar w:fldCharType="separate"/>
            </w:r>
            <w:r>
              <w:rPr>
                <w:noProof/>
                <w:webHidden/>
              </w:rPr>
              <w:t>32</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798" w:history="1">
            <w:r w:rsidRPr="00CE414F">
              <w:rPr>
                <w:rStyle w:val="Hyperlink"/>
                <w:noProof/>
              </w:rPr>
              <w:t>3.1</w:t>
            </w:r>
            <w:r>
              <w:rPr>
                <w:rFonts w:eastAsiaTheme="minorEastAsia" w:cstheme="minorBidi"/>
                <w:b w:val="0"/>
                <w:bCs w:val="0"/>
                <w:noProof/>
                <w:szCs w:val="22"/>
                <w:lang w:eastAsia="fr-FR"/>
              </w:rPr>
              <w:tab/>
            </w:r>
            <w:r w:rsidRPr="00CE414F">
              <w:rPr>
                <w:rStyle w:val="Hyperlink"/>
                <w:noProof/>
              </w:rPr>
              <w:t>Activité quotidienne</w:t>
            </w:r>
            <w:r>
              <w:rPr>
                <w:noProof/>
                <w:webHidden/>
              </w:rPr>
              <w:tab/>
            </w:r>
            <w:r>
              <w:rPr>
                <w:noProof/>
                <w:webHidden/>
              </w:rPr>
              <w:fldChar w:fldCharType="begin"/>
            </w:r>
            <w:r>
              <w:rPr>
                <w:noProof/>
                <w:webHidden/>
              </w:rPr>
              <w:instrText xml:space="preserve"> PAGEREF _Toc494147798 \h </w:instrText>
            </w:r>
            <w:r>
              <w:rPr>
                <w:noProof/>
                <w:webHidden/>
              </w:rPr>
            </w:r>
            <w:r>
              <w:rPr>
                <w:noProof/>
                <w:webHidden/>
              </w:rPr>
              <w:fldChar w:fldCharType="separate"/>
            </w:r>
            <w:r>
              <w:rPr>
                <w:noProof/>
                <w:webHidden/>
              </w:rPr>
              <w:t>32</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799" w:history="1">
            <w:r w:rsidRPr="00CE414F">
              <w:rPr>
                <w:rStyle w:val="Hyperlink"/>
                <w:noProof/>
              </w:rPr>
              <w:t>3.1.1</w:t>
            </w:r>
            <w:r>
              <w:rPr>
                <w:rFonts w:eastAsiaTheme="minorEastAsia" w:cstheme="minorBidi"/>
                <w:noProof/>
                <w:sz w:val="22"/>
                <w:szCs w:val="22"/>
                <w:lang w:eastAsia="fr-FR"/>
              </w:rPr>
              <w:tab/>
            </w:r>
            <w:r w:rsidRPr="00CE414F">
              <w:rPr>
                <w:rStyle w:val="Hyperlink"/>
                <w:noProof/>
              </w:rPr>
              <w:t>Contrats traités</w:t>
            </w:r>
            <w:r>
              <w:rPr>
                <w:noProof/>
                <w:webHidden/>
              </w:rPr>
              <w:tab/>
            </w:r>
            <w:r>
              <w:rPr>
                <w:noProof/>
                <w:webHidden/>
              </w:rPr>
              <w:fldChar w:fldCharType="begin"/>
            </w:r>
            <w:r>
              <w:rPr>
                <w:noProof/>
                <w:webHidden/>
              </w:rPr>
              <w:instrText xml:space="preserve"> PAGEREF _Toc494147799 \h </w:instrText>
            </w:r>
            <w:r>
              <w:rPr>
                <w:noProof/>
                <w:webHidden/>
              </w:rPr>
            </w:r>
            <w:r>
              <w:rPr>
                <w:noProof/>
                <w:webHidden/>
              </w:rPr>
              <w:fldChar w:fldCharType="separate"/>
            </w:r>
            <w:r>
              <w:rPr>
                <w:noProof/>
                <w:webHidden/>
              </w:rPr>
              <w:t>32</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800" w:history="1">
            <w:r w:rsidRPr="00CE414F">
              <w:rPr>
                <w:rStyle w:val="Hyperlink"/>
                <w:noProof/>
              </w:rPr>
              <w:t>3.1.2</w:t>
            </w:r>
            <w:r>
              <w:rPr>
                <w:rFonts w:eastAsiaTheme="minorEastAsia" w:cstheme="minorBidi"/>
                <w:noProof/>
                <w:sz w:val="22"/>
                <w:szCs w:val="22"/>
                <w:lang w:eastAsia="fr-FR"/>
              </w:rPr>
              <w:tab/>
            </w:r>
            <w:r w:rsidRPr="00CE414F">
              <w:rPr>
                <w:rStyle w:val="Hyperlink"/>
                <w:noProof/>
              </w:rPr>
              <w:t>Axes de l’activité</w:t>
            </w:r>
            <w:r>
              <w:rPr>
                <w:noProof/>
                <w:webHidden/>
              </w:rPr>
              <w:tab/>
            </w:r>
            <w:r>
              <w:rPr>
                <w:noProof/>
                <w:webHidden/>
              </w:rPr>
              <w:fldChar w:fldCharType="begin"/>
            </w:r>
            <w:r>
              <w:rPr>
                <w:noProof/>
                <w:webHidden/>
              </w:rPr>
              <w:instrText xml:space="preserve"> PAGEREF _Toc494147800 \h </w:instrText>
            </w:r>
            <w:r>
              <w:rPr>
                <w:noProof/>
                <w:webHidden/>
              </w:rPr>
            </w:r>
            <w:r>
              <w:rPr>
                <w:noProof/>
                <w:webHidden/>
              </w:rPr>
              <w:fldChar w:fldCharType="separate"/>
            </w:r>
            <w:r>
              <w:rPr>
                <w:noProof/>
                <w:webHidden/>
              </w:rPr>
              <w:t>32</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801" w:history="1">
            <w:r w:rsidRPr="00CE414F">
              <w:rPr>
                <w:rStyle w:val="Hyperlink"/>
                <w:noProof/>
              </w:rPr>
              <w:t>3.1.3</w:t>
            </w:r>
            <w:r>
              <w:rPr>
                <w:rFonts w:eastAsiaTheme="minorEastAsia" w:cstheme="minorBidi"/>
                <w:noProof/>
                <w:sz w:val="22"/>
                <w:szCs w:val="22"/>
                <w:lang w:eastAsia="fr-FR"/>
              </w:rPr>
              <w:tab/>
            </w:r>
            <w:r w:rsidRPr="00CE414F">
              <w:rPr>
                <w:rStyle w:val="Hyperlink"/>
                <w:noProof/>
              </w:rPr>
              <w:t>Collatéral face au risque</w:t>
            </w:r>
            <w:r>
              <w:rPr>
                <w:noProof/>
                <w:webHidden/>
              </w:rPr>
              <w:tab/>
            </w:r>
            <w:r>
              <w:rPr>
                <w:noProof/>
                <w:webHidden/>
              </w:rPr>
              <w:fldChar w:fldCharType="begin"/>
            </w:r>
            <w:r>
              <w:rPr>
                <w:noProof/>
                <w:webHidden/>
              </w:rPr>
              <w:instrText xml:space="preserve"> PAGEREF _Toc494147801 \h </w:instrText>
            </w:r>
            <w:r>
              <w:rPr>
                <w:noProof/>
                <w:webHidden/>
              </w:rPr>
            </w:r>
            <w:r>
              <w:rPr>
                <w:noProof/>
                <w:webHidden/>
              </w:rPr>
              <w:fldChar w:fldCharType="separate"/>
            </w:r>
            <w:r>
              <w:rPr>
                <w:noProof/>
                <w:webHidden/>
              </w:rPr>
              <w:t>33</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802" w:history="1">
            <w:r w:rsidRPr="00CE414F">
              <w:rPr>
                <w:rStyle w:val="Hyperlink"/>
                <w:noProof/>
              </w:rPr>
              <w:t>3.2</w:t>
            </w:r>
            <w:r>
              <w:rPr>
                <w:rFonts w:eastAsiaTheme="minorEastAsia" w:cstheme="minorBidi"/>
                <w:b w:val="0"/>
                <w:bCs w:val="0"/>
                <w:noProof/>
                <w:szCs w:val="22"/>
                <w:lang w:eastAsia="fr-FR"/>
              </w:rPr>
              <w:tab/>
            </w:r>
            <w:r w:rsidRPr="00CE414F">
              <w:rPr>
                <w:rStyle w:val="Hyperlink"/>
                <w:noProof/>
              </w:rPr>
              <w:t>Macro de calcul d’appel de marge face à la chambre de compensation</w:t>
            </w:r>
            <w:r>
              <w:rPr>
                <w:noProof/>
                <w:webHidden/>
              </w:rPr>
              <w:tab/>
            </w:r>
            <w:r>
              <w:rPr>
                <w:noProof/>
                <w:webHidden/>
              </w:rPr>
              <w:fldChar w:fldCharType="begin"/>
            </w:r>
            <w:r>
              <w:rPr>
                <w:noProof/>
                <w:webHidden/>
              </w:rPr>
              <w:instrText xml:space="preserve"> PAGEREF _Toc494147802 \h </w:instrText>
            </w:r>
            <w:r>
              <w:rPr>
                <w:noProof/>
                <w:webHidden/>
              </w:rPr>
            </w:r>
            <w:r>
              <w:rPr>
                <w:noProof/>
                <w:webHidden/>
              </w:rPr>
              <w:fldChar w:fldCharType="separate"/>
            </w:r>
            <w:r>
              <w:rPr>
                <w:noProof/>
                <w:webHidden/>
              </w:rPr>
              <w:t>34</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803" w:history="1">
            <w:r w:rsidRPr="00CE414F">
              <w:rPr>
                <w:rStyle w:val="Hyperlink"/>
                <w:noProof/>
              </w:rPr>
              <w:t>3.3</w:t>
            </w:r>
            <w:r>
              <w:rPr>
                <w:rFonts w:eastAsiaTheme="minorEastAsia" w:cstheme="minorBidi"/>
                <w:b w:val="0"/>
                <w:bCs w:val="0"/>
                <w:noProof/>
                <w:szCs w:val="22"/>
                <w:lang w:eastAsia="fr-FR"/>
              </w:rPr>
              <w:tab/>
            </w:r>
            <w:r w:rsidRPr="00CE414F">
              <w:rPr>
                <w:rStyle w:val="Hyperlink"/>
                <w:noProof/>
              </w:rPr>
              <w:t>Macros d’appel de marge face aux clients</w:t>
            </w:r>
            <w:r>
              <w:rPr>
                <w:noProof/>
                <w:webHidden/>
              </w:rPr>
              <w:tab/>
            </w:r>
            <w:r>
              <w:rPr>
                <w:noProof/>
                <w:webHidden/>
              </w:rPr>
              <w:fldChar w:fldCharType="begin"/>
            </w:r>
            <w:r>
              <w:rPr>
                <w:noProof/>
                <w:webHidden/>
              </w:rPr>
              <w:instrText xml:space="preserve"> PAGEREF _Toc494147803 \h </w:instrText>
            </w:r>
            <w:r>
              <w:rPr>
                <w:noProof/>
                <w:webHidden/>
              </w:rPr>
            </w:r>
            <w:r>
              <w:rPr>
                <w:noProof/>
                <w:webHidden/>
              </w:rPr>
              <w:fldChar w:fldCharType="separate"/>
            </w:r>
            <w:r>
              <w:rPr>
                <w:noProof/>
                <w:webHidden/>
              </w:rPr>
              <w:t>37</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804" w:history="1">
            <w:r w:rsidRPr="00CE414F">
              <w:rPr>
                <w:rStyle w:val="Hyperlink"/>
                <w:noProof/>
              </w:rPr>
              <w:t>3.3.1</w:t>
            </w:r>
            <w:r>
              <w:rPr>
                <w:rFonts w:eastAsiaTheme="minorEastAsia" w:cstheme="minorBidi"/>
                <w:noProof/>
                <w:sz w:val="22"/>
                <w:szCs w:val="22"/>
                <w:lang w:eastAsia="fr-FR"/>
              </w:rPr>
              <w:tab/>
            </w:r>
            <w:r w:rsidRPr="00CE414F">
              <w:rPr>
                <w:rStyle w:val="Hyperlink"/>
                <w:noProof/>
              </w:rPr>
              <w:t>Onglet de réponse et d’appel de marge</w:t>
            </w:r>
            <w:r>
              <w:rPr>
                <w:noProof/>
                <w:webHidden/>
              </w:rPr>
              <w:tab/>
            </w:r>
            <w:r>
              <w:rPr>
                <w:noProof/>
                <w:webHidden/>
              </w:rPr>
              <w:fldChar w:fldCharType="begin"/>
            </w:r>
            <w:r>
              <w:rPr>
                <w:noProof/>
                <w:webHidden/>
              </w:rPr>
              <w:instrText xml:space="preserve"> PAGEREF _Toc494147804 \h </w:instrText>
            </w:r>
            <w:r>
              <w:rPr>
                <w:noProof/>
                <w:webHidden/>
              </w:rPr>
            </w:r>
            <w:r>
              <w:rPr>
                <w:noProof/>
                <w:webHidden/>
              </w:rPr>
              <w:fldChar w:fldCharType="separate"/>
            </w:r>
            <w:r>
              <w:rPr>
                <w:noProof/>
                <w:webHidden/>
              </w:rPr>
              <w:t>37</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805" w:history="1">
            <w:r w:rsidRPr="00CE414F">
              <w:rPr>
                <w:rStyle w:val="Hyperlink"/>
                <w:noProof/>
              </w:rPr>
              <w:t>3.3.2</w:t>
            </w:r>
            <w:r>
              <w:rPr>
                <w:rFonts w:eastAsiaTheme="minorEastAsia" w:cstheme="minorBidi"/>
                <w:noProof/>
                <w:sz w:val="22"/>
                <w:szCs w:val="22"/>
                <w:lang w:eastAsia="fr-FR"/>
              </w:rPr>
              <w:tab/>
            </w:r>
            <w:r w:rsidRPr="00CE414F">
              <w:rPr>
                <w:rStyle w:val="Hyperlink"/>
                <w:noProof/>
              </w:rPr>
              <w:t>Onglet de Booking</w:t>
            </w:r>
            <w:r>
              <w:rPr>
                <w:noProof/>
                <w:webHidden/>
              </w:rPr>
              <w:tab/>
            </w:r>
            <w:r>
              <w:rPr>
                <w:noProof/>
                <w:webHidden/>
              </w:rPr>
              <w:fldChar w:fldCharType="begin"/>
            </w:r>
            <w:r>
              <w:rPr>
                <w:noProof/>
                <w:webHidden/>
              </w:rPr>
              <w:instrText xml:space="preserve"> PAGEREF _Toc494147805 \h </w:instrText>
            </w:r>
            <w:r>
              <w:rPr>
                <w:noProof/>
                <w:webHidden/>
              </w:rPr>
            </w:r>
            <w:r>
              <w:rPr>
                <w:noProof/>
                <w:webHidden/>
              </w:rPr>
              <w:fldChar w:fldCharType="separate"/>
            </w:r>
            <w:r>
              <w:rPr>
                <w:noProof/>
                <w:webHidden/>
              </w:rPr>
              <w:t>39</w:t>
            </w:r>
            <w:r>
              <w:rPr>
                <w:noProof/>
                <w:webHidden/>
              </w:rPr>
              <w:fldChar w:fldCharType="end"/>
            </w:r>
          </w:hyperlink>
        </w:p>
        <w:p w:rsidR="003F4AC0" w:rsidRDefault="003F4AC0">
          <w:pPr>
            <w:pStyle w:val="TOC3"/>
            <w:tabs>
              <w:tab w:val="left" w:pos="1100"/>
              <w:tab w:val="right" w:leader="dot" w:pos="9062"/>
            </w:tabs>
            <w:rPr>
              <w:rFonts w:eastAsiaTheme="minorEastAsia" w:cstheme="minorBidi"/>
              <w:noProof/>
              <w:sz w:val="22"/>
              <w:szCs w:val="22"/>
              <w:lang w:eastAsia="fr-FR"/>
            </w:rPr>
          </w:pPr>
          <w:hyperlink w:anchor="_Toc494147806" w:history="1">
            <w:r w:rsidRPr="00CE414F">
              <w:rPr>
                <w:rStyle w:val="Hyperlink"/>
                <w:noProof/>
              </w:rPr>
              <w:t>3.3.3</w:t>
            </w:r>
            <w:r>
              <w:rPr>
                <w:rFonts w:eastAsiaTheme="minorEastAsia" w:cstheme="minorBidi"/>
                <w:noProof/>
                <w:sz w:val="22"/>
                <w:szCs w:val="22"/>
                <w:lang w:eastAsia="fr-FR"/>
              </w:rPr>
              <w:tab/>
            </w:r>
            <w:r w:rsidRPr="00CE414F">
              <w:rPr>
                <w:rStyle w:val="Hyperlink"/>
                <w:noProof/>
              </w:rPr>
              <w:t>Réconciliation des portefeuilles</w:t>
            </w:r>
            <w:r>
              <w:rPr>
                <w:noProof/>
                <w:webHidden/>
              </w:rPr>
              <w:tab/>
            </w:r>
            <w:r>
              <w:rPr>
                <w:noProof/>
                <w:webHidden/>
              </w:rPr>
              <w:fldChar w:fldCharType="begin"/>
            </w:r>
            <w:r>
              <w:rPr>
                <w:noProof/>
                <w:webHidden/>
              </w:rPr>
              <w:instrText xml:space="preserve"> PAGEREF _Toc494147806 \h </w:instrText>
            </w:r>
            <w:r>
              <w:rPr>
                <w:noProof/>
                <w:webHidden/>
              </w:rPr>
            </w:r>
            <w:r>
              <w:rPr>
                <w:noProof/>
                <w:webHidden/>
              </w:rPr>
              <w:fldChar w:fldCharType="separate"/>
            </w:r>
            <w:r>
              <w:rPr>
                <w:noProof/>
                <w:webHidden/>
              </w:rPr>
              <w:t>41</w:t>
            </w:r>
            <w:r>
              <w:rPr>
                <w:noProof/>
                <w:webHidden/>
              </w:rPr>
              <w:fldChar w:fldCharType="end"/>
            </w:r>
          </w:hyperlink>
        </w:p>
        <w:p w:rsidR="003F4AC0" w:rsidRDefault="003F4AC0">
          <w:pPr>
            <w:pStyle w:val="TOC2"/>
            <w:tabs>
              <w:tab w:val="left" w:pos="880"/>
              <w:tab w:val="right" w:leader="dot" w:pos="9062"/>
            </w:tabs>
            <w:rPr>
              <w:rFonts w:eastAsiaTheme="minorEastAsia" w:cstheme="minorBidi"/>
              <w:b w:val="0"/>
              <w:bCs w:val="0"/>
              <w:noProof/>
              <w:szCs w:val="22"/>
              <w:lang w:eastAsia="fr-FR"/>
            </w:rPr>
          </w:pPr>
          <w:hyperlink w:anchor="_Toc494147807" w:history="1">
            <w:r w:rsidRPr="00CE414F">
              <w:rPr>
                <w:rStyle w:val="Hyperlink"/>
                <w:noProof/>
              </w:rPr>
              <w:t>3.4</w:t>
            </w:r>
            <w:r>
              <w:rPr>
                <w:rFonts w:eastAsiaTheme="minorEastAsia" w:cstheme="minorBidi"/>
                <w:b w:val="0"/>
                <w:bCs w:val="0"/>
                <w:noProof/>
                <w:szCs w:val="22"/>
                <w:lang w:eastAsia="fr-FR"/>
              </w:rPr>
              <w:tab/>
            </w:r>
            <w:r w:rsidRPr="00CE414F">
              <w:rPr>
                <w:rStyle w:val="Hyperlink"/>
                <w:noProof/>
              </w:rPr>
              <w:t>Autres activités</w:t>
            </w:r>
            <w:r>
              <w:rPr>
                <w:noProof/>
                <w:webHidden/>
              </w:rPr>
              <w:tab/>
            </w:r>
            <w:r>
              <w:rPr>
                <w:noProof/>
                <w:webHidden/>
              </w:rPr>
              <w:fldChar w:fldCharType="begin"/>
            </w:r>
            <w:r>
              <w:rPr>
                <w:noProof/>
                <w:webHidden/>
              </w:rPr>
              <w:instrText xml:space="preserve"> PAGEREF _Toc494147807 \h </w:instrText>
            </w:r>
            <w:r>
              <w:rPr>
                <w:noProof/>
                <w:webHidden/>
              </w:rPr>
            </w:r>
            <w:r>
              <w:rPr>
                <w:noProof/>
                <w:webHidden/>
              </w:rPr>
              <w:fldChar w:fldCharType="separate"/>
            </w:r>
            <w:r>
              <w:rPr>
                <w:noProof/>
                <w:webHidden/>
              </w:rPr>
              <w:t>42</w:t>
            </w:r>
            <w:r>
              <w:rPr>
                <w:noProof/>
                <w:webHidden/>
              </w:rPr>
              <w:fldChar w:fldCharType="end"/>
            </w:r>
          </w:hyperlink>
        </w:p>
        <w:p w:rsidR="003F4AC0" w:rsidRDefault="003F4AC0">
          <w:pPr>
            <w:pStyle w:val="TOC1"/>
            <w:tabs>
              <w:tab w:val="left" w:pos="440"/>
              <w:tab w:val="right" w:leader="dot" w:pos="9062"/>
            </w:tabs>
            <w:rPr>
              <w:rFonts w:eastAsiaTheme="minorEastAsia" w:cstheme="minorBidi"/>
              <w:b w:val="0"/>
              <w:bCs w:val="0"/>
              <w:i w:val="0"/>
              <w:iCs w:val="0"/>
              <w:noProof/>
              <w:sz w:val="22"/>
              <w:szCs w:val="22"/>
              <w:lang w:eastAsia="fr-FR"/>
            </w:rPr>
          </w:pPr>
          <w:hyperlink w:anchor="_Toc494147808" w:history="1">
            <w:r w:rsidRPr="00CE414F">
              <w:rPr>
                <w:rStyle w:val="Hyperlink"/>
                <w:noProof/>
              </w:rPr>
              <w:t>4</w:t>
            </w:r>
            <w:r>
              <w:rPr>
                <w:rFonts w:eastAsiaTheme="minorEastAsia" w:cstheme="minorBidi"/>
                <w:b w:val="0"/>
                <w:bCs w:val="0"/>
                <w:i w:val="0"/>
                <w:iCs w:val="0"/>
                <w:noProof/>
                <w:sz w:val="22"/>
                <w:szCs w:val="22"/>
                <w:lang w:eastAsia="fr-FR"/>
              </w:rPr>
              <w:tab/>
            </w:r>
            <w:r w:rsidRPr="00CE414F">
              <w:rPr>
                <w:rStyle w:val="Hyperlink"/>
                <w:noProof/>
              </w:rPr>
              <w:t>Conclusion</w:t>
            </w:r>
            <w:r>
              <w:rPr>
                <w:noProof/>
                <w:webHidden/>
              </w:rPr>
              <w:tab/>
            </w:r>
            <w:r>
              <w:rPr>
                <w:noProof/>
                <w:webHidden/>
              </w:rPr>
              <w:fldChar w:fldCharType="begin"/>
            </w:r>
            <w:r>
              <w:rPr>
                <w:noProof/>
                <w:webHidden/>
              </w:rPr>
              <w:instrText xml:space="preserve"> PAGEREF _Toc494147808 \h </w:instrText>
            </w:r>
            <w:r>
              <w:rPr>
                <w:noProof/>
                <w:webHidden/>
              </w:rPr>
            </w:r>
            <w:r>
              <w:rPr>
                <w:noProof/>
                <w:webHidden/>
              </w:rPr>
              <w:fldChar w:fldCharType="separate"/>
            </w:r>
            <w:r>
              <w:rPr>
                <w:noProof/>
                <w:webHidden/>
              </w:rPr>
              <w:t>43</w:t>
            </w:r>
            <w:r>
              <w:rPr>
                <w:noProof/>
                <w:webHidden/>
              </w:rPr>
              <w:fldChar w:fldCharType="end"/>
            </w:r>
          </w:hyperlink>
        </w:p>
        <w:p w:rsidR="003F4AC0" w:rsidRDefault="003F4AC0">
          <w:pPr>
            <w:pStyle w:val="TOC1"/>
            <w:tabs>
              <w:tab w:val="right" w:leader="dot" w:pos="9062"/>
            </w:tabs>
            <w:rPr>
              <w:rFonts w:eastAsiaTheme="minorEastAsia" w:cstheme="minorBidi"/>
              <w:b w:val="0"/>
              <w:bCs w:val="0"/>
              <w:i w:val="0"/>
              <w:iCs w:val="0"/>
              <w:noProof/>
              <w:sz w:val="22"/>
              <w:szCs w:val="22"/>
              <w:lang w:eastAsia="fr-FR"/>
            </w:rPr>
          </w:pPr>
          <w:hyperlink w:anchor="_Toc494147809" w:history="1">
            <w:r w:rsidRPr="00CE414F">
              <w:rPr>
                <w:rStyle w:val="Hyperlink"/>
                <w:noProof/>
              </w:rPr>
              <w:t>Annexe</w:t>
            </w:r>
            <w:r>
              <w:rPr>
                <w:noProof/>
                <w:webHidden/>
              </w:rPr>
              <w:tab/>
            </w:r>
            <w:r>
              <w:rPr>
                <w:noProof/>
                <w:webHidden/>
              </w:rPr>
              <w:fldChar w:fldCharType="begin"/>
            </w:r>
            <w:r>
              <w:rPr>
                <w:noProof/>
                <w:webHidden/>
              </w:rPr>
              <w:instrText xml:space="preserve"> PAGEREF _Toc494147809 \h </w:instrText>
            </w:r>
            <w:r>
              <w:rPr>
                <w:noProof/>
                <w:webHidden/>
              </w:rPr>
            </w:r>
            <w:r>
              <w:rPr>
                <w:noProof/>
                <w:webHidden/>
              </w:rPr>
              <w:fldChar w:fldCharType="separate"/>
            </w:r>
            <w:r>
              <w:rPr>
                <w:noProof/>
                <w:webHidden/>
              </w:rPr>
              <w:t>44</w:t>
            </w:r>
            <w:r>
              <w:rPr>
                <w:noProof/>
                <w:webHidden/>
              </w:rPr>
              <w:fldChar w:fldCharType="end"/>
            </w:r>
          </w:hyperlink>
        </w:p>
        <w:p w:rsidR="003F4AC0" w:rsidRDefault="003F4AC0">
          <w:pPr>
            <w:pStyle w:val="TOC1"/>
            <w:tabs>
              <w:tab w:val="right" w:leader="dot" w:pos="9062"/>
            </w:tabs>
            <w:rPr>
              <w:rFonts w:eastAsiaTheme="minorEastAsia" w:cstheme="minorBidi"/>
              <w:b w:val="0"/>
              <w:bCs w:val="0"/>
              <w:i w:val="0"/>
              <w:iCs w:val="0"/>
              <w:noProof/>
              <w:sz w:val="22"/>
              <w:szCs w:val="22"/>
              <w:lang w:eastAsia="fr-FR"/>
            </w:rPr>
          </w:pPr>
          <w:hyperlink w:anchor="_Toc494147810" w:history="1">
            <w:r w:rsidRPr="00CE414F">
              <w:rPr>
                <w:rStyle w:val="Hyperlink"/>
                <w:noProof/>
              </w:rPr>
              <w:t>Références</w:t>
            </w:r>
            <w:r>
              <w:rPr>
                <w:noProof/>
                <w:webHidden/>
              </w:rPr>
              <w:tab/>
            </w:r>
            <w:r>
              <w:rPr>
                <w:noProof/>
                <w:webHidden/>
              </w:rPr>
              <w:fldChar w:fldCharType="begin"/>
            </w:r>
            <w:r>
              <w:rPr>
                <w:noProof/>
                <w:webHidden/>
              </w:rPr>
              <w:instrText xml:space="preserve"> PAGEREF _Toc494147810 \h </w:instrText>
            </w:r>
            <w:r>
              <w:rPr>
                <w:noProof/>
                <w:webHidden/>
              </w:rPr>
            </w:r>
            <w:r>
              <w:rPr>
                <w:noProof/>
                <w:webHidden/>
              </w:rPr>
              <w:fldChar w:fldCharType="separate"/>
            </w:r>
            <w:r>
              <w:rPr>
                <w:noProof/>
                <w:webHidden/>
              </w:rPr>
              <w:t>46</w:t>
            </w:r>
            <w:r>
              <w:rPr>
                <w:noProof/>
                <w:webHidden/>
              </w:rPr>
              <w:fldChar w:fldCharType="end"/>
            </w:r>
          </w:hyperlink>
        </w:p>
        <w:p w:rsidR="00751523" w:rsidRPr="003F4AC0" w:rsidRDefault="007E2F79" w:rsidP="003F4AC0">
          <w:r w:rsidRPr="00081B7D">
            <w:rPr>
              <w:rFonts w:ascii="Calisto MT" w:hAnsi="Calisto MT"/>
              <w:b/>
              <w:bCs/>
            </w:rPr>
            <w:fldChar w:fldCharType="end"/>
          </w:r>
        </w:p>
      </w:sdtContent>
    </w:sdt>
    <w:p w:rsidR="00751523" w:rsidRPr="00081B7D" w:rsidRDefault="00751523" w:rsidP="005D635F">
      <w:pPr>
        <w:pStyle w:val="Heading3"/>
        <w:rPr>
          <w:lang w:val="fr-FR"/>
        </w:rPr>
        <w:sectPr w:rsidR="00751523" w:rsidRPr="00081B7D" w:rsidSect="003D6DC2">
          <w:headerReference w:type="default" r:id="rId13"/>
          <w:pgSz w:w="11906" w:h="16838"/>
          <w:pgMar w:top="1417" w:right="1417" w:bottom="1417" w:left="1417" w:header="3" w:footer="191" w:gutter="0"/>
          <w:cols w:space="708"/>
          <w:docGrid w:linePitch="360"/>
        </w:sectPr>
      </w:pPr>
    </w:p>
    <w:p w:rsidR="00081B7D" w:rsidRPr="00081B7D" w:rsidRDefault="00081B7D" w:rsidP="000E7451">
      <w:pPr>
        <w:pStyle w:val="Heading1"/>
        <w:numPr>
          <w:ilvl w:val="0"/>
          <w:numId w:val="0"/>
        </w:numPr>
        <w:ind w:left="432"/>
      </w:pPr>
      <w:bookmarkStart w:id="0" w:name="_Toc494147777"/>
      <w:r w:rsidRPr="00081B7D">
        <w:lastRenderedPageBreak/>
        <w:t>Table des figures</w:t>
      </w:r>
      <w:bookmarkEnd w:id="0"/>
    </w:p>
    <w:p w:rsidR="003F4AC0" w:rsidRDefault="007E2F79">
      <w:pPr>
        <w:pStyle w:val="TableofFigures"/>
        <w:tabs>
          <w:tab w:val="right" w:leader="dot" w:pos="9062"/>
        </w:tabs>
        <w:rPr>
          <w:rFonts w:eastAsiaTheme="minorEastAsia"/>
          <w:noProof/>
          <w:lang w:eastAsia="fr-FR"/>
        </w:rPr>
      </w:pPr>
      <w:r w:rsidRPr="00081B7D">
        <w:fldChar w:fldCharType="begin"/>
      </w:r>
      <w:r w:rsidR="00751523" w:rsidRPr="00081B7D">
        <w:instrText xml:space="preserve"> TOC \h \z \c "Figure" </w:instrText>
      </w:r>
      <w:r w:rsidRPr="00081B7D">
        <w:fldChar w:fldCharType="separate"/>
      </w:r>
      <w:hyperlink w:anchor="_Toc494147811" w:history="1">
        <w:r w:rsidR="003F4AC0" w:rsidRPr="00B62937">
          <w:rPr>
            <w:rStyle w:val="Hyperlink"/>
            <w:noProof/>
          </w:rPr>
          <w:t>Figure 1 Salle de marché de l'immeuble Basalte à la Défense</w:t>
        </w:r>
        <w:r w:rsidR="003F4AC0">
          <w:rPr>
            <w:noProof/>
            <w:webHidden/>
          </w:rPr>
          <w:tab/>
        </w:r>
        <w:r w:rsidR="003F4AC0">
          <w:rPr>
            <w:noProof/>
            <w:webHidden/>
          </w:rPr>
          <w:fldChar w:fldCharType="begin"/>
        </w:r>
        <w:r w:rsidR="003F4AC0">
          <w:rPr>
            <w:noProof/>
            <w:webHidden/>
          </w:rPr>
          <w:instrText xml:space="preserve"> PAGEREF _Toc494147811 \h </w:instrText>
        </w:r>
        <w:r w:rsidR="003F4AC0">
          <w:rPr>
            <w:noProof/>
            <w:webHidden/>
          </w:rPr>
        </w:r>
        <w:r w:rsidR="003F4AC0">
          <w:rPr>
            <w:noProof/>
            <w:webHidden/>
          </w:rPr>
          <w:fldChar w:fldCharType="separate"/>
        </w:r>
        <w:r w:rsidR="003F4AC0">
          <w:rPr>
            <w:noProof/>
            <w:webHidden/>
          </w:rPr>
          <w:t>13</w:t>
        </w:r>
        <w:r w:rsidR="003F4AC0">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12" w:history="1">
        <w:r w:rsidRPr="00B62937">
          <w:rPr>
            <w:rStyle w:val="Hyperlink"/>
            <w:noProof/>
          </w:rPr>
          <w:t>Figure 2 Collatéral en circulation dans les banques américaines</w:t>
        </w:r>
        <w:r>
          <w:rPr>
            <w:noProof/>
            <w:webHidden/>
          </w:rPr>
          <w:tab/>
        </w:r>
        <w:r>
          <w:rPr>
            <w:noProof/>
            <w:webHidden/>
          </w:rPr>
          <w:fldChar w:fldCharType="begin"/>
        </w:r>
        <w:r>
          <w:rPr>
            <w:noProof/>
            <w:webHidden/>
          </w:rPr>
          <w:instrText xml:space="preserve"> PAGEREF _Toc494147812 \h </w:instrText>
        </w:r>
        <w:r>
          <w:rPr>
            <w:noProof/>
            <w:webHidden/>
          </w:rPr>
        </w:r>
        <w:r>
          <w:rPr>
            <w:noProof/>
            <w:webHidden/>
          </w:rPr>
          <w:fldChar w:fldCharType="separate"/>
        </w:r>
        <w:r>
          <w:rPr>
            <w:noProof/>
            <w:webHidden/>
          </w:rPr>
          <w:t>15</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13" w:history="1">
        <w:r w:rsidRPr="00B62937">
          <w:rPr>
            <w:rStyle w:val="Hyperlink"/>
            <w:noProof/>
          </w:rPr>
          <w:t>Figure 3 Collatéral en circulation dans les banques Européenne</w:t>
        </w:r>
        <w:r>
          <w:rPr>
            <w:noProof/>
            <w:webHidden/>
          </w:rPr>
          <w:tab/>
        </w:r>
        <w:r>
          <w:rPr>
            <w:noProof/>
            <w:webHidden/>
          </w:rPr>
          <w:fldChar w:fldCharType="begin"/>
        </w:r>
        <w:r>
          <w:rPr>
            <w:noProof/>
            <w:webHidden/>
          </w:rPr>
          <w:instrText xml:space="preserve"> PAGEREF _Toc494147813 \h </w:instrText>
        </w:r>
        <w:r>
          <w:rPr>
            <w:noProof/>
            <w:webHidden/>
          </w:rPr>
        </w:r>
        <w:r>
          <w:rPr>
            <w:noProof/>
            <w:webHidden/>
          </w:rPr>
          <w:fldChar w:fldCharType="separate"/>
        </w:r>
        <w:r>
          <w:rPr>
            <w:noProof/>
            <w:webHidden/>
          </w:rPr>
          <w:t>15</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14" w:history="1">
        <w:r w:rsidRPr="00B62937">
          <w:rPr>
            <w:rStyle w:val="Hyperlink"/>
            <w:noProof/>
          </w:rPr>
          <w:t>Figure 4 Taux Repo vs Taux Eonia</w:t>
        </w:r>
        <w:r>
          <w:rPr>
            <w:noProof/>
            <w:webHidden/>
          </w:rPr>
          <w:tab/>
        </w:r>
        <w:r>
          <w:rPr>
            <w:noProof/>
            <w:webHidden/>
          </w:rPr>
          <w:fldChar w:fldCharType="begin"/>
        </w:r>
        <w:r>
          <w:rPr>
            <w:noProof/>
            <w:webHidden/>
          </w:rPr>
          <w:instrText xml:space="preserve"> PAGEREF _Toc494147814 \h </w:instrText>
        </w:r>
        <w:r>
          <w:rPr>
            <w:noProof/>
            <w:webHidden/>
          </w:rPr>
        </w:r>
        <w:r>
          <w:rPr>
            <w:noProof/>
            <w:webHidden/>
          </w:rPr>
          <w:fldChar w:fldCharType="separate"/>
        </w:r>
        <w:r>
          <w:rPr>
            <w:noProof/>
            <w:webHidden/>
          </w:rPr>
          <w:t>16</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15" w:history="1">
        <w:r w:rsidRPr="00B62937">
          <w:rPr>
            <w:rStyle w:val="Hyperlink"/>
            <w:noProof/>
          </w:rPr>
          <w:t>Figure 5 Shéma du résau avec chambre de compensation</w:t>
        </w:r>
        <w:r>
          <w:rPr>
            <w:noProof/>
            <w:webHidden/>
          </w:rPr>
          <w:tab/>
        </w:r>
        <w:r>
          <w:rPr>
            <w:noProof/>
            <w:webHidden/>
          </w:rPr>
          <w:fldChar w:fldCharType="begin"/>
        </w:r>
        <w:r>
          <w:rPr>
            <w:noProof/>
            <w:webHidden/>
          </w:rPr>
          <w:instrText xml:space="preserve"> PAGEREF _Toc494147815 \h </w:instrText>
        </w:r>
        <w:r>
          <w:rPr>
            <w:noProof/>
            <w:webHidden/>
          </w:rPr>
        </w:r>
        <w:r>
          <w:rPr>
            <w:noProof/>
            <w:webHidden/>
          </w:rPr>
          <w:fldChar w:fldCharType="separate"/>
        </w:r>
        <w:r>
          <w:rPr>
            <w:noProof/>
            <w:webHidden/>
          </w:rPr>
          <w:t>20</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16" w:history="1">
        <w:r w:rsidRPr="00B62937">
          <w:rPr>
            <w:rStyle w:val="Hyperlink"/>
            <w:noProof/>
          </w:rPr>
          <w:t>Figure 6: Axes de l'activité</w:t>
        </w:r>
        <w:r>
          <w:rPr>
            <w:noProof/>
            <w:webHidden/>
          </w:rPr>
          <w:tab/>
        </w:r>
        <w:r>
          <w:rPr>
            <w:noProof/>
            <w:webHidden/>
          </w:rPr>
          <w:fldChar w:fldCharType="begin"/>
        </w:r>
        <w:r>
          <w:rPr>
            <w:noProof/>
            <w:webHidden/>
          </w:rPr>
          <w:instrText xml:space="preserve"> PAGEREF _Toc494147816 \h </w:instrText>
        </w:r>
        <w:r>
          <w:rPr>
            <w:noProof/>
            <w:webHidden/>
          </w:rPr>
        </w:r>
        <w:r>
          <w:rPr>
            <w:noProof/>
            <w:webHidden/>
          </w:rPr>
          <w:fldChar w:fldCharType="separate"/>
        </w:r>
        <w:r>
          <w:rPr>
            <w:noProof/>
            <w:webHidden/>
          </w:rPr>
          <w:t>32</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17" w:history="1">
        <w:r w:rsidRPr="00B62937">
          <w:rPr>
            <w:rStyle w:val="Hyperlink"/>
            <w:noProof/>
          </w:rPr>
          <w:t>Figure 7 Activité face au risque</w:t>
        </w:r>
        <w:r>
          <w:rPr>
            <w:noProof/>
            <w:webHidden/>
          </w:rPr>
          <w:tab/>
        </w:r>
        <w:r>
          <w:rPr>
            <w:noProof/>
            <w:webHidden/>
          </w:rPr>
          <w:fldChar w:fldCharType="begin"/>
        </w:r>
        <w:r>
          <w:rPr>
            <w:noProof/>
            <w:webHidden/>
          </w:rPr>
          <w:instrText xml:space="preserve"> PAGEREF _Toc494147817 \h </w:instrText>
        </w:r>
        <w:r>
          <w:rPr>
            <w:noProof/>
            <w:webHidden/>
          </w:rPr>
        </w:r>
        <w:r>
          <w:rPr>
            <w:noProof/>
            <w:webHidden/>
          </w:rPr>
          <w:fldChar w:fldCharType="separate"/>
        </w:r>
        <w:r>
          <w:rPr>
            <w:noProof/>
            <w:webHidden/>
          </w:rPr>
          <w:t>33</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18" w:history="1">
        <w:r w:rsidRPr="00B62937">
          <w:rPr>
            <w:rStyle w:val="Hyperlink"/>
            <w:noProof/>
          </w:rPr>
          <w:t>Figure 8 Interface de la macro de la CCP</w:t>
        </w:r>
        <w:r>
          <w:rPr>
            <w:noProof/>
            <w:webHidden/>
          </w:rPr>
          <w:tab/>
        </w:r>
        <w:r>
          <w:rPr>
            <w:noProof/>
            <w:webHidden/>
          </w:rPr>
          <w:fldChar w:fldCharType="begin"/>
        </w:r>
        <w:r>
          <w:rPr>
            <w:noProof/>
            <w:webHidden/>
          </w:rPr>
          <w:instrText xml:space="preserve"> PAGEREF _Toc494147818 \h </w:instrText>
        </w:r>
        <w:r>
          <w:rPr>
            <w:noProof/>
            <w:webHidden/>
          </w:rPr>
        </w:r>
        <w:r>
          <w:rPr>
            <w:noProof/>
            <w:webHidden/>
          </w:rPr>
          <w:fldChar w:fldCharType="separate"/>
        </w:r>
        <w:r>
          <w:rPr>
            <w:noProof/>
            <w:webHidden/>
          </w:rPr>
          <w:t>34</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19" w:history="1">
        <w:r w:rsidRPr="00B62937">
          <w:rPr>
            <w:rStyle w:val="Hyperlink"/>
            <w:noProof/>
          </w:rPr>
          <w:t>Figure 9 Interface de calcul des VM et IM</w:t>
        </w:r>
        <w:r>
          <w:rPr>
            <w:noProof/>
            <w:webHidden/>
          </w:rPr>
          <w:tab/>
        </w:r>
        <w:r>
          <w:rPr>
            <w:noProof/>
            <w:webHidden/>
          </w:rPr>
          <w:fldChar w:fldCharType="begin"/>
        </w:r>
        <w:r>
          <w:rPr>
            <w:noProof/>
            <w:webHidden/>
          </w:rPr>
          <w:instrText xml:space="preserve"> PAGEREF _Toc494147819 \h </w:instrText>
        </w:r>
        <w:r>
          <w:rPr>
            <w:noProof/>
            <w:webHidden/>
          </w:rPr>
        </w:r>
        <w:r>
          <w:rPr>
            <w:noProof/>
            <w:webHidden/>
          </w:rPr>
          <w:fldChar w:fldCharType="separate"/>
        </w:r>
        <w:r>
          <w:rPr>
            <w:noProof/>
            <w:webHidden/>
          </w:rPr>
          <w:t>35</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20" w:history="1">
        <w:r w:rsidRPr="00B62937">
          <w:rPr>
            <w:rStyle w:val="Hyperlink"/>
            <w:noProof/>
          </w:rPr>
          <w:t>Figure 10 Appel de marge et Réponse à l'appel de marge de la Contrepartie 1</w:t>
        </w:r>
        <w:r>
          <w:rPr>
            <w:noProof/>
            <w:webHidden/>
          </w:rPr>
          <w:tab/>
        </w:r>
        <w:r>
          <w:rPr>
            <w:noProof/>
            <w:webHidden/>
          </w:rPr>
          <w:fldChar w:fldCharType="begin"/>
        </w:r>
        <w:r>
          <w:rPr>
            <w:noProof/>
            <w:webHidden/>
          </w:rPr>
          <w:instrText xml:space="preserve"> PAGEREF _Toc494147820 \h </w:instrText>
        </w:r>
        <w:r>
          <w:rPr>
            <w:noProof/>
            <w:webHidden/>
          </w:rPr>
        </w:r>
        <w:r>
          <w:rPr>
            <w:noProof/>
            <w:webHidden/>
          </w:rPr>
          <w:fldChar w:fldCharType="separate"/>
        </w:r>
        <w:r>
          <w:rPr>
            <w:noProof/>
            <w:webHidden/>
          </w:rPr>
          <w:t>37</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21" w:history="1">
        <w:r w:rsidRPr="00B62937">
          <w:rPr>
            <w:rStyle w:val="Hyperlink"/>
            <w:noProof/>
          </w:rPr>
          <w:t>Figure 11 Appel de marge et Réponse à l'appel de marge de la Contrepartie 2</w:t>
        </w:r>
        <w:r>
          <w:rPr>
            <w:noProof/>
            <w:webHidden/>
          </w:rPr>
          <w:tab/>
        </w:r>
        <w:r>
          <w:rPr>
            <w:noProof/>
            <w:webHidden/>
          </w:rPr>
          <w:fldChar w:fldCharType="begin"/>
        </w:r>
        <w:r>
          <w:rPr>
            <w:noProof/>
            <w:webHidden/>
          </w:rPr>
          <w:instrText xml:space="preserve"> PAGEREF _Toc494147821 \h </w:instrText>
        </w:r>
        <w:r>
          <w:rPr>
            <w:noProof/>
            <w:webHidden/>
          </w:rPr>
        </w:r>
        <w:r>
          <w:rPr>
            <w:noProof/>
            <w:webHidden/>
          </w:rPr>
          <w:fldChar w:fldCharType="separate"/>
        </w:r>
        <w:r>
          <w:rPr>
            <w:noProof/>
            <w:webHidden/>
          </w:rPr>
          <w:t>38</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22" w:history="1">
        <w:r w:rsidRPr="00B62937">
          <w:rPr>
            <w:rStyle w:val="Hyperlink"/>
            <w:noProof/>
          </w:rPr>
          <w:t>Figure 12 Onglet de Booking pour la réception du collatéral cp1</w:t>
        </w:r>
        <w:r>
          <w:rPr>
            <w:noProof/>
            <w:webHidden/>
          </w:rPr>
          <w:tab/>
        </w:r>
        <w:r>
          <w:rPr>
            <w:noProof/>
            <w:webHidden/>
          </w:rPr>
          <w:fldChar w:fldCharType="begin"/>
        </w:r>
        <w:r>
          <w:rPr>
            <w:noProof/>
            <w:webHidden/>
          </w:rPr>
          <w:instrText xml:space="preserve"> PAGEREF _Toc494147822 \h </w:instrText>
        </w:r>
        <w:r>
          <w:rPr>
            <w:noProof/>
            <w:webHidden/>
          </w:rPr>
        </w:r>
        <w:r>
          <w:rPr>
            <w:noProof/>
            <w:webHidden/>
          </w:rPr>
          <w:fldChar w:fldCharType="separate"/>
        </w:r>
        <w:r>
          <w:rPr>
            <w:noProof/>
            <w:webHidden/>
          </w:rPr>
          <w:t>39</w:t>
        </w:r>
        <w:r>
          <w:rPr>
            <w:noProof/>
            <w:webHidden/>
          </w:rPr>
          <w:fldChar w:fldCharType="end"/>
        </w:r>
      </w:hyperlink>
    </w:p>
    <w:p w:rsidR="003F4AC0" w:rsidRDefault="003F4AC0">
      <w:pPr>
        <w:pStyle w:val="TableofFigures"/>
        <w:tabs>
          <w:tab w:val="right" w:leader="dot" w:pos="9062"/>
        </w:tabs>
        <w:rPr>
          <w:rFonts w:eastAsiaTheme="minorEastAsia"/>
          <w:noProof/>
          <w:lang w:eastAsia="fr-FR"/>
        </w:rPr>
      </w:pPr>
      <w:hyperlink w:anchor="_Toc494147823" w:history="1">
        <w:r w:rsidRPr="00B62937">
          <w:rPr>
            <w:rStyle w:val="Hyperlink"/>
            <w:noProof/>
          </w:rPr>
          <w:t>Figure 13 Onglet de Booking pour la réception du collatéral cp2</w:t>
        </w:r>
        <w:r>
          <w:rPr>
            <w:noProof/>
            <w:webHidden/>
          </w:rPr>
          <w:tab/>
        </w:r>
        <w:r>
          <w:rPr>
            <w:noProof/>
            <w:webHidden/>
          </w:rPr>
          <w:fldChar w:fldCharType="begin"/>
        </w:r>
        <w:r>
          <w:rPr>
            <w:noProof/>
            <w:webHidden/>
          </w:rPr>
          <w:instrText xml:space="preserve"> PAGEREF _Toc494147823 \h </w:instrText>
        </w:r>
        <w:r>
          <w:rPr>
            <w:noProof/>
            <w:webHidden/>
          </w:rPr>
        </w:r>
        <w:r>
          <w:rPr>
            <w:noProof/>
            <w:webHidden/>
          </w:rPr>
          <w:fldChar w:fldCharType="separate"/>
        </w:r>
        <w:r>
          <w:rPr>
            <w:noProof/>
            <w:webHidden/>
          </w:rPr>
          <w:t>40</w:t>
        </w:r>
        <w:r>
          <w:rPr>
            <w:noProof/>
            <w:webHidden/>
          </w:rPr>
          <w:fldChar w:fldCharType="end"/>
        </w:r>
      </w:hyperlink>
    </w:p>
    <w:p w:rsidR="003D6DC2" w:rsidRPr="00081B7D" w:rsidRDefault="007E2F79" w:rsidP="006E2502">
      <w:pPr>
        <w:sectPr w:rsidR="003D6DC2" w:rsidRPr="00081B7D" w:rsidSect="003D6DC2">
          <w:pgSz w:w="11906" w:h="16838"/>
          <w:pgMar w:top="1417" w:right="1417" w:bottom="1417" w:left="1417" w:header="3" w:footer="191" w:gutter="0"/>
          <w:cols w:space="708"/>
          <w:docGrid w:linePitch="360"/>
        </w:sectPr>
      </w:pPr>
      <w:r w:rsidRPr="00081B7D">
        <w:fldChar w:fldCharType="end"/>
      </w:r>
    </w:p>
    <w:p w:rsidR="003D6DC2" w:rsidRPr="00081B7D" w:rsidRDefault="003D6DC2" w:rsidP="000E7451">
      <w:pPr>
        <w:pStyle w:val="Heading1"/>
        <w:numPr>
          <w:ilvl w:val="0"/>
          <w:numId w:val="0"/>
        </w:numPr>
        <w:ind w:left="432"/>
        <w:rPr>
          <w:sz w:val="40"/>
        </w:rPr>
      </w:pPr>
      <w:bookmarkStart w:id="1" w:name="_Toc494147778"/>
      <w:r w:rsidRPr="00081B7D">
        <w:lastRenderedPageBreak/>
        <w:t>Remerciements</w:t>
      </w:r>
      <w:bookmarkEnd w:id="1"/>
    </w:p>
    <w:p w:rsidR="003D6DC2" w:rsidRPr="00081B7D" w:rsidRDefault="003D6DC2" w:rsidP="001541A6">
      <w:pPr>
        <w:pStyle w:val="Standard"/>
      </w:pPr>
      <w:r w:rsidRPr="00081B7D">
        <w:t>Un grand merci à tous ceux qui ont contribué à la réussite de mon stage de fin d’études, de l’équipe pédagogique de la MACS et celle d’Esprit et bien sûr  les équipes que j’ai eu le plaisir de côtoyer et travailler avec, à la Société Générale.</w:t>
      </w:r>
    </w:p>
    <w:p w:rsidR="003D6DC2" w:rsidRPr="00081B7D" w:rsidRDefault="003D6DC2" w:rsidP="001541A6">
      <w:pPr>
        <w:pStyle w:val="Standard"/>
      </w:pPr>
      <w:r w:rsidRPr="00081B7D">
        <w:t>Je tiens à remercier en premier lieu</w:t>
      </w:r>
      <w:r w:rsidR="00AB3BF4" w:rsidRPr="00081B7D">
        <w:t xml:space="preserve"> Mme.</w:t>
      </w:r>
      <w:r w:rsidR="005A709F" w:rsidRPr="00081B7D">
        <w:t xml:space="preserve"> </w:t>
      </w:r>
      <w:r w:rsidRPr="00081B7D">
        <w:t xml:space="preserve">Audrey </w:t>
      </w:r>
      <w:proofErr w:type="spellStart"/>
      <w:r w:rsidRPr="00081B7D">
        <w:t>Auzou</w:t>
      </w:r>
      <w:proofErr w:type="spellEnd"/>
      <w:r w:rsidRPr="00081B7D">
        <w:t xml:space="preserve">, pour </w:t>
      </w:r>
      <w:r w:rsidR="005A709F" w:rsidRPr="00081B7D">
        <w:t>la confiance qu’elle m</w:t>
      </w:r>
      <w:r w:rsidR="00654058" w:rsidRPr="00081B7D">
        <w:t>’a accordée,</w:t>
      </w:r>
      <w:r w:rsidR="005A709F" w:rsidRPr="00081B7D">
        <w:t xml:space="preserve"> mais aussi pour sa présence</w:t>
      </w:r>
      <w:r w:rsidR="00654058" w:rsidRPr="00081B7D">
        <w:t xml:space="preserve"> </w:t>
      </w:r>
      <w:r w:rsidR="00501936" w:rsidRPr="00081B7D">
        <w:t>tout au long de mon stage.</w:t>
      </w:r>
    </w:p>
    <w:p w:rsidR="00BD7AF2" w:rsidRPr="00081B7D" w:rsidRDefault="00BD7AF2" w:rsidP="001541A6">
      <w:pPr>
        <w:pStyle w:val="Standard"/>
      </w:pPr>
      <w:r w:rsidRPr="00081B7D">
        <w:t>J’exprime ma gratitude envers</w:t>
      </w:r>
      <w:r w:rsidR="00AB3BF4" w:rsidRPr="00081B7D">
        <w:t xml:space="preserve"> M.</w:t>
      </w:r>
      <w:r w:rsidR="003D6DC2" w:rsidRPr="00081B7D">
        <w:t xml:space="preserve"> </w:t>
      </w:r>
      <w:proofErr w:type="spellStart"/>
      <w:r w:rsidR="005A709F" w:rsidRPr="00081B7D">
        <w:t>Belkacem</w:t>
      </w:r>
      <w:proofErr w:type="spellEnd"/>
      <w:r w:rsidR="005A709F" w:rsidRPr="00081B7D">
        <w:t xml:space="preserve"> </w:t>
      </w:r>
      <w:proofErr w:type="spellStart"/>
      <w:r w:rsidR="005A709F" w:rsidRPr="00081B7D">
        <w:t>Mebarek</w:t>
      </w:r>
      <w:proofErr w:type="spellEnd"/>
      <w:r w:rsidRPr="00081B7D">
        <w:t xml:space="preserve"> </w:t>
      </w:r>
      <w:r w:rsidR="005A709F" w:rsidRPr="00081B7D">
        <w:t xml:space="preserve"> </w:t>
      </w:r>
      <w:r w:rsidRPr="00081B7D">
        <w:t>pour tous</w:t>
      </w:r>
      <w:r w:rsidR="005A709F" w:rsidRPr="00081B7D">
        <w:t xml:space="preserve"> ses encouragements</w:t>
      </w:r>
      <w:r w:rsidRPr="00081B7D">
        <w:t xml:space="preserve">, </w:t>
      </w:r>
      <w:r w:rsidR="00501936" w:rsidRPr="00081B7D">
        <w:t xml:space="preserve"> </w:t>
      </w:r>
      <w:r w:rsidRPr="00081B7D">
        <w:t xml:space="preserve">pour sa bienveillance,  </w:t>
      </w:r>
      <w:r w:rsidR="00CE3598" w:rsidRPr="00081B7D">
        <w:t xml:space="preserve">pour son soutien </w:t>
      </w:r>
      <w:r w:rsidR="00501936" w:rsidRPr="00081B7D">
        <w:t>et tous ses conseils précieux.</w:t>
      </w:r>
    </w:p>
    <w:p w:rsidR="00BD7AF2" w:rsidRPr="00081B7D" w:rsidRDefault="00CE3598" w:rsidP="001541A6">
      <w:pPr>
        <w:pStyle w:val="Standard"/>
      </w:pPr>
      <w:r w:rsidRPr="00081B7D">
        <w:t xml:space="preserve">Je remercie </w:t>
      </w:r>
      <w:r w:rsidR="00501936" w:rsidRPr="00081B7D">
        <w:t>aussi</w:t>
      </w:r>
      <w:r w:rsidR="00AB3BF4" w:rsidRPr="00081B7D">
        <w:t xml:space="preserve"> </w:t>
      </w:r>
      <w:r w:rsidRPr="00081B7D">
        <w:t xml:space="preserve">Alexandre </w:t>
      </w:r>
      <w:proofErr w:type="spellStart"/>
      <w:r w:rsidRPr="00081B7D">
        <w:t>Allouche</w:t>
      </w:r>
      <w:proofErr w:type="spellEnd"/>
      <w:r w:rsidR="00043A1B" w:rsidRPr="00081B7D">
        <w:t xml:space="preserve"> et </w:t>
      </w:r>
      <w:proofErr w:type="spellStart"/>
      <w:r w:rsidR="00043A1B" w:rsidRPr="00081B7D">
        <w:t>Tsilavina</w:t>
      </w:r>
      <w:proofErr w:type="spellEnd"/>
      <w:r w:rsidR="00043A1B" w:rsidRPr="00081B7D">
        <w:t xml:space="preserve"> </w:t>
      </w:r>
      <w:proofErr w:type="spellStart"/>
      <w:r w:rsidR="00043A1B" w:rsidRPr="00081B7D">
        <w:t>Razorehilalana</w:t>
      </w:r>
      <w:proofErr w:type="spellEnd"/>
      <w:r w:rsidR="00043A1B" w:rsidRPr="00081B7D">
        <w:t xml:space="preserve">, </w:t>
      </w:r>
      <w:r w:rsidR="00AB3BF4" w:rsidRPr="00081B7D">
        <w:t>que j’ai eu la chance d’avoir comme manager</w:t>
      </w:r>
      <w:r w:rsidR="00043A1B" w:rsidRPr="00081B7D">
        <w:t>s</w:t>
      </w:r>
      <w:r w:rsidR="00AB3BF4" w:rsidRPr="00081B7D">
        <w:t>, et</w:t>
      </w:r>
      <w:r w:rsidR="005E0802" w:rsidRPr="00081B7D">
        <w:t xml:space="preserve"> pour qui j’éprouve </w:t>
      </w:r>
      <w:r w:rsidR="00751523" w:rsidRPr="00081B7D">
        <w:t>un profond</w:t>
      </w:r>
      <w:r w:rsidR="005E0802" w:rsidRPr="00081B7D">
        <w:t xml:space="preserve"> respect.</w:t>
      </w:r>
    </w:p>
    <w:p w:rsidR="006D6655" w:rsidRPr="00081B7D" w:rsidRDefault="00BD7AF2" w:rsidP="001541A6">
      <w:pPr>
        <w:pStyle w:val="Standard"/>
      </w:pPr>
      <w:r w:rsidRPr="00081B7D">
        <w:t>Je remercie tous mes</w:t>
      </w:r>
      <w:r w:rsidR="006D6655" w:rsidRPr="00081B7D">
        <w:t xml:space="preserve"> chers</w:t>
      </w:r>
      <w:r w:rsidRPr="00081B7D">
        <w:t xml:space="preserve"> collègues</w:t>
      </w:r>
      <w:r w:rsidR="006D6655" w:rsidRPr="00081B7D">
        <w:t xml:space="preserve"> et amis</w:t>
      </w:r>
      <w:r w:rsidR="00043A1B" w:rsidRPr="00081B7D">
        <w:t xml:space="preserve"> des équipes FICC, EQD OPTIM, TT et CARL</w:t>
      </w:r>
      <w:r w:rsidRPr="00081B7D">
        <w:t xml:space="preserve"> pour</w:t>
      </w:r>
      <w:r w:rsidR="00501936" w:rsidRPr="00081B7D">
        <w:t xml:space="preserve"> leur</w:t>
      </w:r>
      <w:r w:rsidRPr="00081B7D">
        <w:t xml:space="preserve"> accueil</w:t>
      </w:r>
      <w:r w:rsidR="00654058" w:rsidRPr="00081B7D">
        <w:t xml:space="preserve"> si chaleureux</w:t>
      </w:r>
      <w:r w:rsidR="00501936" w:rsidRPr="00081B7D">
        <w:t> et pour</w:t>
      </w:r>
      <w:r w:rsidR="00043A1B" w:rsidRPr="00081B7D">
        <w:t xml:space="preserve"> cette</w:t>
      </w:r>
      <w:r w:rsidR="00501936" w:rsidRPr="00081B7D">
        <w:t xml:space="preserve"> formation rigoureuse et continue</w:t>
      </w:r>
      <w:r w:rsidR="00043A1B" w:rsidRPr="00081B7D">
        <w:t xml:space="preserve"> et l’expérience qu’ils ont partagé avec moi</w:t>
      </w:r>
      <w:r w:rsidR="00501936" w:rsidRPr="00081B7D">
        <w:t>.</w:t>
      </w:r>
    </w:p>
    <w:p w:rsidR="00AB3BF4" w:rsidRPr="00081B7D" w:rsidRDefault="00BD7AF2" w:rsidP="001541A6">
      <w:pPr>
        <w:pStyle w:val="Standard"/>
      </w:pPr>
      <w:r w:rsidRPr="00081B7D">
        <w:t xml:space="preserve">Je </w:t>
      </w:r>
      <w:r w:rsidR="00CE3598" w:rsidRPr="00081B7D">
        <w:t>remercie également</w:t>
      </w:r>
      <w:r w:rsidRPr="00081B7D">
        <w:t xml:space="preserve"> </w:t>
      </w:r>
      <w:r w:rsidR="003D45AE" w:rsidRPr="00081B7D">
        <w:t xml:space="preserve">toute l’équipe pédagogique de la MACS, </w:t>
      </w:r>
      <w:r w:rsidR="00657E68" w:rsidRPr="00081B7D">
        <w:t xml:space="preserve">M. </w:t>
      </w:r>
      <w:r w:rsidR="003D45AE" w:rsidRPr="00081B7D">
        <w:t xml:space="preserve">Olivier Lafitte, directeur de la formation, </w:t>
      </w:r>
      <w:r w:rsidR="00657E68" w:rsidRPr="00081B7D">
        <w:t xml:space="preserve">M. </w:t>
      </w:r>
      <w:r w:rsidR="003D45AE" w:rsidRPr="00081B7D">
        <w:t xml:space="preserve">Emmanuel </w:t>
      </w:r>
      <w:proofErr w:type="spellStart"/>
      <w:r w:rsidR="003D45AE" w:rsidRPr="00081B7D">
        <w:t>Audusse</w:t>
      </w:r>
      <w:proofErr w:type="spellEnd"/>
      <w:r w:rsidR="003D45AE" w:rsidRPr="00081B7D">
        <w:t xml:space="preserve"> responsable des études, </w:t>
      </w:r>
      <w:r w:rsidR="00657E68" w:rsidRPr="00081B7D">
        <w:t xml:space="preserve">M. </w:t>
      </w:r>
      <w:r w:rsidR="003D45AE" w:rsidRPr="00081B7D">
        <w:t xml:space="preserve">Ahmed </w:t>
      </w:r>
      <w:proofErr w:type="spellStart"/>
      <w:r w:rsidR="003D45AE" w:rsidRPr="00081B7D">
        <w:t>Kebaier</w:t>
      </w:r>
      <w:proofErr w:type="spellEnd"/>
      <w:r w:rsidR="00501936" w:rsidRPr="00081B7D">
        <w:t>,</w:t>
      </w:r>
      <w:r w:rsidR="003D45AE" w:rsidRPr="00081B7D">
        <w:t xml:space="preserve"> Responsable des stages </w:t>
      </w:r>
      <w:r w:rsidR="00827F0F" w:rsidRPr="00081B7D">
        <w:t xml:space="preserve">et </w:t>
      </w:r>
      <w:r w:rsidR="00657E68" w:rsidRPr="00081B7D">
        <w:t xml:space="preserve">M. </w:t>
      </w:r>
      <w:r w:rsidR="00501936" w:rsidRPr="00081B7D">
        <w:t xml:space="preserve">Mohamed Ben </w:t>
      </w:r>
      <w:proofErr w:type="spellStart"/>
      <w:r w:rsidR="00501936" w:rsidRPr="00081B7D">
        <w:t>Alaya</w:t>
      </w:r>
      <w:proofErr w:type="spellEnd"/>
      <w:r w:rsidR="00501936" w:rsidRPr="00081B7D">
        <w:t xml:space="preserve"> qui s’</w:t>
      </w:r>
      <w:r w:rsidR="00043A1B" w:rsidRPr="00081B7D">
        <w:t xml:space="preserve">est déplacé au sein </w:t>
      </w:r>
      <w:r w:rsidR="00501936" w:rsidRPr="00081B7D">
        <w:t xml:space="preserve">de l’entreprise pour le suivi de mon stage. </w:t>
      </w:r>
      <w:r w:rsidR="00AB3BF4" w:rsidRPr="00081B7D">
        <w:t xml:space="preserve">Je remercie ainsi </w:t>
      </w:r>
      <w:r w:rsidR="00827F0F" w:rsidRPr="00081B7D">
        <w:t>tous mes professeurs</w:t>
      </w:r>
      <w:r w:rsidR="00501936" w:rsidRPr="00081B7D">
        <w:t xml:space="preserve"> de la Macs</w:t>
      </w:r>
      <w:r w:rsidR="00AB3BF4" w:rsidRPr="00081B7D">
        <w:t>, la formation et les connaissances qu’ils mont transmises m’ont permis de me distinguer lors de mon stage.</w:t>
      </w:r>
    </w:p>
    <w:p w:rsidR="00BD7AF2" w:rsidRPr="00081B7D" w:rsidRDefault="00AB3BF4" w:rsidP="001541A6">
      <w:pPr>
        <w:pStyle w:val="Standard"/>
        <w:sectPr w:rsidR="00BD7AF2" w:rsidRPr="00081B7D" w:rsidSect="003D6DC2">
          <w:headerReference w:type="default" r:id="rId14"/>
          <w:pgSz w:w="11906" w:h="16838"/>
          <w:pgMar w:top="1417" w:right="1417" w:bottom="1417" w:left="1417" w:header="3" w:footer="191" w:gutter="0"/>
          <w:cols w:space="708"/>
          <w:docGrid w:linePitch="360"/>
        </w:sectPr>
      </w:pPr>
      <w:r w:rsidRPr="00081B7D">
        <w:t xml:space="preserve"> </w:t>
      </w:r>
      <w:r w:rsidR="00827F0F" w:rsidRPr="00081B7D">
        <w:t>Et puis je suis</w:t>
      </w:r>
      <w:r w:rsidRPr="00081B7D">
        <w:t xml:space="preserve"> très</w:t>
      </w:r>
      <w:r w:rsidR="00827F0F" w:rsidRPr="00081B7D">
        <w:t xml:space="preserve"> reconnaissante envers Mme. </w:t>
      </w:r>
      <w:proofErr w:type="spellStart"/>
      <w:r w:rsidR="00827F0F" w:rsidRPr="00081B7D">
        <w:t>Kaouther</w:t>
      </w:r>
      <w:proofErr w:type="spellEnd"/>
      <w:r w:rsidR="00827F0F" w:rsidRPr="00081B7D">
        <w:t xml:space="preserve"> </w:t>
      </w:r>
      <w:proofErr w:type="spellStart"/>
      <w:r w:rsidR="00827F0F" w:rsidRPr="00081B7D">
        <w:t>Louati</w:t>
      </w:r>
      <w:proofErr w:type="spellEnd"/>
      <w:r w:rsidR="00827F0F" w:rsidRPr="00081B7D">
        <w:t xml:space="preserve"> responsable de la filière I</w:t>
      </w:r>
      <w:r w:rsidRPr="00081B7D">
        <w:t>nformatique Financière à Esprit pour tout son soutien ;</w:t>
      </w:r>
    </w:p>
    <w:p w:rsidR="00CE3598" w:rsidRPr="00081B7D" w:rsidRDefault="00CE3598" w:rsidP="000E7451">
      <w:pPr>
        <w:pStyle w:val="Heading1"/>
        <w:numPr>
          <w:ilvl w:val="0"/>
          <w:numId w:val="0"/>
        </w:numPr>
        <w:ind w:left="432"/>
      </w:pPr>
      <w:bookmarkStart w:id="2" w:name="_Toc494147779"/>
      <w:r w:rsidRPr="00081B7D">
        <w:lastRenderedPageBreak/>
        <w:t>Résumé</w:t>
      </w:r>
      <w:bookmarkEnd w:id="2"/>
    </w:p>
    <w:p w:rsidR="00657E68" w:rsidRPr="00081B7D" w:rsidRDefault="003D45AE" w:rsidP="001541A6">
      <w:pPr>
        <w:pStyle w:val="Standard"/>
      </w:pPr>
      <w:r w:rsidRPr="00081B7D">
        <w:t>Ce rappo</w:t>
      </w:r>
      <w:r w:rsidR="0093538E" w:rsidRPr="00081B7D">
        <w:t>rt a été rédigé dans le cadre de mon</w:t>
      </w:r>
      <w:r w:rsidRPr="00081B7D">
        <w:t xml:space="preserve"> </w:t>
      </w:r>
      <w:r w:rsidR="00AB3BF4" w:rsidRPr="00081B7D">
        <w:t>stage</w:t>
      </w:r>
      <w:r w:rsidRPr="00081B7D">
        <w:t xml:space="preserve"> de fin d’études, effectué dans le cursus Mathématiques Appliquées et Calcul Scientifique. </w:t>
      </w:r>
      <w:r w:rsidR="00501936" w:rsidRPr="00081B7D">
        <w:t xml:space="preserve"> </w:t>
      </w:r>
      <w:r w:rsidRPr="00081B7D">
        <w:t xml:space="preserve">Le </w:t>
      </w:r>
      <w:r w:rsidR="00AB3BF4" w:rsidRPr="00081B7D">
        <w:t>stage</w:t>
      </w:r>
      <w:r w:rsidRPr="00081B7D">
        <w:t xml:space="preserve"> a été effectué au sein de la Société Générale </w:t>
      </w:r>
      <w:proofErr w:type="spellStart"/>
      <w:r w:rsidRPr="00081B7D">
        <w:t>Corporate</w:t>
      </w:r>
      <w:proofErr w:type="spellEnd"/>
      <w:r w:rsidRPr="00081B7D">
        <w:t xml:space="preserve"> and </w:t>
      </w:r>
      <w:proofErr w:type="spellStart"/>
      <w:r w:rsidRPr="00081B7D">
        <w:t>Investment</w:t>
      </w:r>
      <w:proofErr w:type="spellEnd"/>
      <w:r w:rsidRPr="00081B7D">
        <w:t xml:space="preserve"> </w:t>
      </w:r>
      <w:proofErr w:type="spellStart"/>
      <w:r w:rsidRPr="00081B7D">
        <w:t>Banking</w:t>
      </w:r>
      <w:proofErr w:type="spellEnd"/>
      <w:r w:rsidRPr="00081B7D">
        <w:t>, en tant que Assistante au chargé Middle Office pour la gestion de collatéral sur les repos et P/E de titres.</w:t>
      </w:r>
    </w:p>
    <w:p w:rsidR="00CE3598" w:rsidRPr="00081B7D" w:rsidRDefault="00AB3BF4" w:rsidP="001541A6">
      <w:pPr>
        <w:pStyle w:val="Standard"/>
      </w:pPr>
      <w:r w:rsidRPr="00081B7D">
        <w:br/>
        <w:t>J’ai eu la chance de travailler avec les équipes d’</w:t>
      </w:r>
      <w:proofErr w:type="spellStart"/>
      <w:r w:rsidRPr="00081B7D">
        <w:t>Oper</w:t>
      </w:r>
      <w:proofErr w:type="spellEnd"/>
      <w:r w:rsidRPr="00081B7D">
        <w:t xml:space="preserve"> CCR</w:t>
      </w:r>
      <w:r w:rsidR="0093538E" w:rsidRPr="00081B7D">
        <w:t>.</w:t>
      </w:r>
    </w:p>
    <w:p w:rsidR="0093538E" w:rsidRPr="00081B7D" w:rsidRDefault="000D1582" w:rsidP="001541A6">
      <w:pPr>
        <w:pStyle w:val="Standard"/>
      </w:pPr>
      <w:r w:rsidRPr="00081B7D">
        <w:t>Mon stage</w:t>
      </w:r>
      <w:r w:rsidR="00163632" w:rsidRPr="00081B7D">
        <w:t xml:space="preserve"> dans le monde d’une entreprise aussi grande et complexe</w:t>
      </w:r>
      <w:r w:rsidRPr="00081B7D">
        <w:t xml:space="preserve"> que la Société Générale a été un élément très formateur, que ce soit au niveau connaissances académique, compétences professionnelles et même personnelles. </w:t>
      </w:r>
      <w:r w:rsidRPr="00081B7D">
        <w:br/>
        <w:t>Ce rapport regroupera et détaillera tout ce sue j’ai pu apprendre pendant ces six mois.</w:t>
      </w:r>
    </w:p>
    <w:p w:rsidR="0093538E" w:rsidRPr="00081B7D" w:rsidRDefault="00024019" w:rsidP="001541A6">
      <w:pPr>
        <w:pStyle w:val="Standard"/>
      </w:pPr>
      <w:r w:rsidRPr="00081B7D">
        <w:t xml:space="preserve">Je présenterai ainsi en premier lieu l’Entreprise et le cadre dans lequel j’ai pu évoluer. Je </w:t>
      </w:r>
      <w:r w:rsidR="000D1582" w:rsidRPr="00081B7D">
        <w:t>préciserai</w:t>
      </w:r>
      <w:r w:rsidRPr="00081B7D">
        <w:t xml:space="preserve"> ensuite les axes d’activité de notre équipe. J’expliquerai ensuite les enjeux principaux du collatéral dans </w:t>
      </w:r>
      <w:r w:rsidR="00163632" w:rsidRPr="00081B7D">
        <w:t>l’activité du marché d’aujourd’hui. Et enfin je décrirai les projets qui m’ont été confié et que j’ai pu mener à terme.</w:t>
      </w:r>
    </w:p>
    <w:p w:rsidR="00657E68" w:rsidRPr="00081B7D" w:rsidRDefault="00657E68" w:rsidP="001541A6">
      <w:pPr>
        <w:pStyle w:val="Standard"/>
        <w:sectPr w:rsidR="00657E68" w:rsidRPr="00081B7D" w:rsidSect="003D6DC2">
          <w:headerReference w:type="default" r:id="rId15"/>
          <w:pgSz w:w="11906" w:h="16838"/>
          <w:pgMar w:top="1417" w:right="1417" w:bottom="1417" w:left="1417" w:header="3" w:footer="191" w:gutter="0"/>
          <w:cols w:space="708"/>
          <w:docGrid w:linePitch="360"/>
        </w:sectPr>
      </w:pPr>
    </w:p>
    <w:p w:rsidR="003D45AE" w:rsidRPr="00081B7D" w:rsidRDefault="003D45AE" w:rsidP="000E7451">
      <w:pPr>
        <w:pStyle w:val="Heading1"/>
        <w:numPr>
          <w:ilvl w:val="0"/>
          <w:numId w:val="0"/>
        </w:numPr>
        <w:ind w:left="432"/>
      </w:pPr>
      <w:bookmarkStart w:id="3" w:name="_Toc494147780"/>
      <w:r w:rsidRPr="00081B7D">
        <w:lastRenderedPageBreak/>
        <w:t>Introduction</w:t>
      </w:r>
      <w:bookmarkEnd w:id="3"/>
    </w:p>
    <w:p w:rsidR="00657E68" w:rsidRPr="00081B7D" w:rsidRDefault="00657E68" w:rsidP="001541A6">
      <w:pPr>
        <w:pStyle w:val="Standard"/>
      </w:pPr>
    </w:p>
    <w:p w:rsidR="00DC3CF3" w:rsidRPr="00081B7D" w:rsidRDefault="004D4060" w:rsidP="001541A6">
      <w:pPr>
        <w:pStyle w:val="Standard"/>
      </w:pPr>
      <w:r w:rsidRPr="00081B7D">
        <w:t xml:space="preserve">Le collatéral est aujourd’hui l’un des piliers des marchés financier. Il procure une structure de sécurité pour </w:t>
      </w:r>
      <w:r w:rsidR="00DC3CF3" w:rsidRPr="00081B7D">
        <w:t>un marché fluctuant et risqué</w:t>
      </w:r>
      <w:r w:rsidRPr="00081B7D">
        <w:t>.</w:t>
      </w:r>
    </w:p>
    <w:p w:rsidR="004D4060" w:rsidRPr="00081B7D" w:rsidRDefault="00F2416B" w:rsidP="001541A6">
      <w:pPr>
        <w:pStyle w:val="Standard"/>
      </w:pPr>
      <w:r w:rsidRPr="00081B7D">
        <w:t>Quand le monde financie</w:t>
      </w:r>
      <w:r w:rsidR="00FA76CE" w:rsidRPr="00081B7D">
        <w:t>r a connu la crise en 2007</w:t>
      </w:r>
      <w:r w:rsidR="00BB6B50" w:rsidRPr="00081B7D">
        <w:t>, le manque de liquidité a été un</w:t>
      </w:r>
      <w:r w:rsidR="001F6FCE" w:rsidRPr="00081B7D">
        <w:t xml:space="preserve"> souci</w:t>
      </w:r>
      <w:r w:rsidR="00BB6B50" w:rsidRPr="00081B7D">
        <w:t xml:space="preserve"> majeur. Dans l’impossibilité de se financer sur le marché des obligations de court terme, les banque</w:t>
      </w:r>
      <w:r w:rsidR="001F6FCE" w:rsidRPr="00081B7D">
        <w:t>s</w:t>
      </w:r>
      <w:r w:rsidR="00BB6B50" w:rsidRPr="00081B7D">
        <w:t xml:space="preserve"> ont fait appel à la banque centrale, mais ceci a causé un </w:t>
      </w:r>
      <w:r w:rsidR="001F6FCE" w:rsidRPr="00081B7D">
        <w:t>déséquilibre économique handicapant. Les dommages ont perdurés longtemps après la crise.</w:t>
      </w:r>
      <w:r w:rsidR="00D74852" w:rsidRPr="00081B7D">
        <w:t xml:space="preserve"> Ceci explique le recours et l’implication importante de certains moyens et produits financiers, devenus indispensable aujourd’</w:t>
      </w:r>
      <w:r w:rsidR="00F13D50" w:rsidRPr="00081B7D">
        <w:t>hui, comme les Repos par exemple.</w:t>
      </w:r>
    </w:p>
    <w:p w:rsidR="005673C6" w:rsidRPr="00081B7D" w:rsidRDefault="00034822" w:rsidP="001541A6">
      <w:pPr>
        <w:pStyle w:val="Standard"/>
      </w:pPr>
      <w:r w:rsidRPr="00081B7D">
        <w:t xml:space="preserve">L’abondance de liquidité avant la période de 2007-2008, a fait que le collatéral n’était pas bien géré.  Cela s’est </w:t>
      </w:r>
      <w:r w:rsidR="005673C6" w:rsidRPr="00081B7D">
        <w:t xml:space="preserve">manifesté par le fait que les produits financier, surtout sur le marché de gré à gré, étaient sous </w:t>
      </w:r>
      <w:proofErr w:type="spellStart"/>
      <w:r w:rsidR="005673C6" w:rsidRPr="00081B7D">
        <w:t>collatéralisés</w:t>
      </w:r>
      <w:proofErr w:type="spellEnd"/>
      <w:r w:rsidR="005673C6" w:rsidRPr="00081B7D">
        <w:t xml:space="preserve"> de manière critique. Le marché financier s’est vu soudainement </w:t>
      </w:r>
      <w:r w:rsidRPr="00081B7D">
        <w:t xml:space="preserve"> </w:t>
      </w:r>
      <w:r w:rsidR="005673C6" w:rsidRPr="00081B7D">
        <w:t>exposé à une pénurie de confiance et de collatéral. C’est pour cela que l</w:t>
      </w:r>
      <w:r w:rsidRPr="00081B7D">
        <w:t>a gestion du collatéral post crise, est devenue une discipline indépendante av</w:t>
      </w:r>
      <w:r w:rsidR="005673C6" w:rsidRPr="00081B7D">
        <w:t>ec un rôle dédié, surtout que les régulateurs ont rendu obligatoire l’utilisation du collatéral dans plusieurs activités du marché.</w:t>
      </w:r>
      <w:r w:rsidRPr="00081B7D">
        <w:t xml:space="preserve"> Les processus sont</w:t>
      </w:r>
      <w:r w:rsidR="005673C6" w:rsidRPr="00081B7D">
        <w:t xml:space="preserve"> alors plus sophistiqués et précis, d’autant plus que la demande du collatéral de haute qualité a augmenté considérablement. </w:t>
      </w:r>
    </w:p>
    <w:p w:rsidR="003A46DF" w:rsidRPr="00081B7D" w:rsidRDefault="00D74852" w:rsidP="001541A6">
      <w:pPr>
        <w:pStyle w:val="Standard"/>
        <w:rPr>
          <w:rFonts w:ascii="Cambria Math" w:hAnsi="Cambria Math"/>
          <w:szCs w:val="26"/>
        </w:rPr>
      </w:pPr>
      <w:r w:rsidRPr="00081B7D">
        <w:t>Le</w:t>
      </w:r>
      <w:r w:rsidR="00EB4758" w:rsidRPr="00081B7D">
        <w:t xml:space="preserve"> </w:t>
      </w:r>
      <w:r w:rsidRPr="00081B7D">
        <w:t xml:space="preserve">recours au </w:t>
      </w:r>
      <w:r w:rsidR="00F13D50" w:rsidRPr="00081B7D">
        <w:t>collaté</w:t>
      </w:r>
      <w:r w:rsidR="00EB4758" w:rsidRPr="00081B7D">
        <w:t>ral</w:t>
      </w:r>
      <w:r w:rsidRPr="00081B7D">
        <w:t xml:space="preserve"> est alors</w:t>
      </w:r>
      <w:r w:rsidR="00EB4758" w:rsidRPr="00081B7D">
        <w:t xml:space="preserve"> </w:t>
      </w:r>
      <w:r w:rsidRPr="00081B7D">
        <w:t>devenu urgent et critique, pour les institutions financiers, les investisseurs, les société d’assurances, et les différents fonds d’arbitrages et les multinationales</w:t>
      </w:r>
      <w:proofErr w:type="gramStart"/>
      <w:r w:rsidRPr="00081B7D">
        <w:t>..</w:t>
      </w:r>
      <w:proofErr w:type="gramEnd"/>
      <w:r w:rsidRPr="00081B7D">
        <w:t xml:space="preserve"> </w:t>
      </w:r>
      <w:r w:rsidR="00F13D50" w:rsidRPr="00081B7D">
        <w:t>Cet attrait grandissant vers le collatéral, est dû à leur activité sur le marché de gré à gré, et au recours au marché du Repo pour la liquidité, ainsi</w:t>
      </w:r>
      <w:r w:rsidR="003A46DF" w:rsidRPr="00081B7D">
        <w:t xml:space="preserve"> ils </w:t>
      </w:r>
      <w:r w:rsidR="00F13D50" w:rsidRPr="00081B7D">
        <w:t>cherchent une prise de risque dans les actifs risqués, balancée avec une exposition sécurisé grâce au collatéral.</w:t>
      </w:r>
      <w:r w:rsidR="00837D7B" w:rsidRPr="00081B7D">
        <w:t xml:space="preserve"> </w:t>
      </w:r>
    </w:p>
    <w:p w:rsidR="00F13D50" w:rsidRPr="00081B7D" w:rsidRDefault="00F13D50" w:rsidP="001541A6">
      <w:pPr>
        <w:pStyle w:val="Standard"/>
      </w:pPr>
    </w:p>
    <w:p w:rsidR="00657E68" w:rsidRPr="00081B7D" w:rsidRDefault="00657E68" w:rsidP="001541A6">
      <w:pPr>
        <w:pStyle w:val="Standard"/>
      </w:pPr>
    </w:p>
    <w:p w:rsidR="00837D7B" w:rsidRPr="00081B7D" w:rsidRDefault="00837D7B" w:rsidP="001541A6">
      <w:pPr>
        <w:pStyle w:val="Standard"/>
      </w:pPr>
      <w:r w:rsidRPr="00081B7D">
        <w:lastRenderedPageBreak/>
        <w:t>Quel est l’enjeu d</w:t>
      </w:r>
      <w:r w:rsidR="00043A1B" w:rsidRPr="00081B7D">
        <w:t>e la gestion de</w:t>
      </w:r>
      <w:r w:rsidRPr="00081B7D">
        <w:t xml:space="preserve"> collatéral dans le monde de la finance aujourd’hui et </w:t>
      </w:r>
      <w:r w:rsidR="003A46DF" w:rsidRPr="00081B7D">
        <w:t>comment s’oppose-t-il comme première défense face au</w:t>
      </w:r>
      <w:r w:rsidRPr="00081B7D">
        <w:t xml:space="preserve"> risque de contrepartie ? Quelle est l’importance des marché</w:t>
      </w:r>
      <w:r w:rsidR="00043A1B" w:rsidRPr="00081B7D">
        <w:t>s</w:t>
      </w:r>
      <w:r w:rsidRPr="00081B7D">
        <w:t xml:space="preserve"> du repo et du pr</w:t>
      </w:r>
      <w:r w:rsidR="00043A1B" w:rsidRPr="00081B7D">
        <w:t xml:space="preserve">êt emprunt,  et quelle est le rôle des chambres </w:t>
      </w:r>
      <w:r w:rsidR="003A46DF" w:rsidRPr="00081B7D">
        <w:t>de compensations ?</w:t>
      </w:r>
    </w:p>
    <w:p w:rsidR="00837D7B" w:rsidRPr="00081B7D" w:rsidRDefault="00837D7B" w:rsidP="001541A6">
      <w:pPr>
        <w:pStyle w:val="Standard"/>
      </w:pPr>
      <w:r w:rsidRPr="00081B7D">
        <w:t>Nous essayerons dans ce rapport de répondre à ces questions.</w:t>
      </w:r>
    </w:p>
    <w:p w:rsidR="003A46DF" w:rsidRPr="00081B7D" w:rsidRDefault="003A46DF" w:rsidP="001541A6">
      <w:pPr>
        <w:pStyle w:val="Standard"/>
      </w:pPr>
    </w:p>
    <w:p w:rsidR="003D45AE" w:rsidRPr="00081B7D" w:rsidRDefault="003D45AE" w:rsidP="001541A6">
      <w:pPr>
        <w:pStyle w:val="Standard"/>
        <w:sectPr w:rsidR="003D45AE" w:rsidRPr="00081B7D" w:rsidSect="003D6DC2">
          <w:headerReference w:type="default" r:id="rId16"/>
          <w:pgSz w:w="11906" w:h="16838"/>
          <w:pgMar w:top="1417" w:right="1417" w:bottom="1417" w:left="1417" w:header="3" w:footer="191" w:gutter="0"/>
          <w:cols w:space="708"/>
          <w:docGrid w:linePitch="360"/>
        </w:sectPr>
      </w:pPr>
    </w:p>
    <w:p w:rsidR="00C216BC" w:rsidRPr="00081B7D" w:rsidRDefault="00827F0F" w:rsidP="00564CDD">
      <w:pPr>
        <w:pStyle w:val="Heading1"/>
      </w:pPr>
      <w:bookmarkStart w:id="4" w:name="_Toc494147781"/>
      <w:r w:rsidRPr="00081B7D">
        <w:lastRenderedPageBreak/>
        <w:t>Cadre du stage</w:t>
      </w:r>
      <w:bookmarkEnd w:id="4"/>
      <w:r w:rsidRPr="00081B7D">
        <w:t> </w:t>
      </w:r>
    </w:p>
    <w:p w:rsidR="00827F0F" w:rsidRPr="00081B7D" w:rsidRDefault="006D6655" w:rsidP="005D635F">
      <w:pPr>
        <w:pStyle w:val="Heading2"/>
      </w:pPr>
      <w:bookmarkStart w:id="5" w:name="_Toc494147782"/>
      <w:r w:rsidRPr="00081B7D">
        <w:t>Présentation de l’entreprise</w:t>
      </w:r>
      <w:bookmarkEnd w:id="5"/>
    </w:p>
    <w:p w:rsidR="00EC0B50" w:rsidRPr="00081B7D" w:rsidRDefault="00EC0B50" w:rsidP="00EC0B50">
      <w:pPr>
        <w:pStyle w:val="Heading3"/>
        <w:rPr>
          <w:lang w:val="fr-FR"/>
        </w:rPr>
      </w:pPr>
      <w:bookmarkStart w:id="6" w:name="_Toc494147783"/>
      <w:r w:rsidRPr="00081B7D">
        <w:rPr>
          <w:lang w:val="fr-FR"/>
        </w:rPr>
        <w:t>Présentation générale</w:t>
      </w:r>
      <w:bookmarkEnd w:id="6"/>
    </w:p>
    <w:p w:rsidR="002E33B3" w:rsidRPr="00081B7D" w:rsidRDefault="00C216BC" w:rsidP="001541A6">
      <w:pPr>
        <w:pStyle w:val="Standard"/>
      </w:pPr>
      <w:r w:rsidRPr="00081B7D">
        <w:t xml:space="preserve">La Société Générale est </w:t>
      </w:r>
      <w:r w:rsidR="002E33B3" w:rsidRPr="00081B7D">
        <w:t xml:space="preserve">l’un des plus grands groupes financiers Européens. Le groupe procure des services financiers </w:t>
      </w:r>
      <w:r w:rsidR="00BD544F" w:rsidRPr="00081B7D">
        <w:t xml:space="preserve">aux clients particuliers, aux professionnels et aux différentes institutions financières </w:t>
      </w:r>
      <w:r w:rsidR="002E33B3" w:rsidRPr="00081B7D">
        <w:t xml:space="preserve">en France et à l’international. </w:t>
      </w:r>
    </w:p>
    <w:p w:rsidR="003B7F70" w:rsidRPr="00081B7D" w:rsidRDefault="0053135D" w:rsidP="001541A6">
      <w:pPr>
        <w:pStyle w:val="Standard"/>
      </w:pPr>
      <w:r w:rsidRPr="00081B7D">
        <w:t>Créée depuis</w:t>
      </w:r>
      <w:r w:rsidR="009D7C27" w:rsidRPr="00081B7D">
        <w:t xml:space="preserve"> maintenant 150 ans, </w:t>
      </w:r>
      <w:r w:rsidRPr="00081B7D">
        <w:t xml:space="preserve">la </w:t>
      </w:r>
      <w:r w:rsidR="009D7C27" w:rsidRPr="00081B7D">
        <w:t>Société Générale emploie plus de 154 000 collaborateurs, présents dans 76 pays, et accompagne au quotidien 32 millions de clients dans le monde entier en offrant une large palette de conseils et solutions financières sur mesure aux particuliers, entreprises et investisseurs institutionnels</w:t>
      </w:r>
      <w:r w:rsidR="00BD544F" w:rsidRPr="00081B7D">
        <w:t>.</w:t>
      </w:r>
    </w:p>
    <w:p w:rsidR="003B7F70" w:rsidRPr="00081B7D" w:rsidRDefault="003B7F70" w:rsidP="00F41F72">
      <w:pPr>
        <w:pStyle w:val="Standard"/>
        <w:spacing w:after="0" w:line="240" w:lineRule="auto"/>
      </w:pPr>
      <w:r w:rsidRPr="00081B7D">
        <w:t xml:space="preserve">La Société Générale s’articule autour de quatre pôles métier : </w:t>
      </w:r>
    </w:p>
    <w:p w:rsidR="003B7F70" w:rsidRPr="00081B7D" w:rsidRDefault="003B7F70" w:rsidP="008B6BE7">
      <w:pPr>
        <w:pStyle w:val="Standard"/>
        <w:numPr>
          <w:ilvl w:val="0"/>
          <w:numId w:val="3"/>
        </w:numPr>
        <w:spacing w:after="0" w:line="240" w:lineRule="auto"/>
      </w:pPr>
      <w:r w:rsidRPr="00081B7D">
        <w:t>La banque de financement et d’investissement</w:t>
      </w:r>
    </w:p>
    <w:p w:rsidR="003B7F70" w:rsidRPr="00081B7D" w:rsidRDefault="003B7F70" w:rsidP="008B6BE7">
      <w:pPr>
        <w:pStyle w:val="Standard"/>
        <w:numPr>
          <w:ilvl w:val="0"/>
          <w:numId w:val="3"/>
        </w:numPr>
        <w:spacing w:after="0" w:line="240" w:lineRule="auto"/>
      </w:pPr>
      <w:r w:rsidRPr="00081B7D">
        <w:t xml:space="preserve">La banque </w:t>
      </w:r>
      <w:r w:rsidR="00F5201E" w:rsidRPr="00081B7D">
        <w:t>de détail</w:t>
      </w:r>
    </w:p>
    <w:p w:rsidR="003B7F70" w:rsidRPr="00081B7D" w:rsidRDefault="003B7F70" w:rsidP="008B6BE7">
      <w:pPr>
        <w:pStyle w:val="Standard"/>
        <w:numPr>
          <w:ilvl w:val="0"/>
          <w:numId w:val="3"/>
        </w:numPr>
        <w:spacing w:after="0" w:line="240" w:lineRule="auto"/>
      </w:pPr>
      <w:r w:rsidRPr="00081B7D">
        <w:t xml:space="preserve">La gestion d’actifs </w:t>
      </w:r>
    </w:p>
    <w:p w:rsidR="003B7F70" w:rsidRPr="00081B7D" w:rsidRDefault="003B7F70" w:rsidP="008B6BE7">
      <w:pPr>
        <w:pStyle w:val="Standard"/>
        <w:numPr>
          <w:ilvl w:val="0"/>
          <w:numId w:val="3"/>
        </w:numPr>
        <w:spacing w:after="0" w:line="240" w:lineRule="auto"/>
      </w:pPr>
      <w:r w:rsidRPr="00081B7D">
        <w:t>Métier titres.</w:t>
      </w:r>
    </w:p>
    <w:p w:rsidR="003B7F70" w:rsidRPr="00081B7D" w:rsidRDefault="003B7F70" w:rsidP="00F41F72">
      <w:pPr>
        <w:pStyle w:val="Standard"/>
        <w:spacing w:after="0"/>
      </w:pPr>
    </w:p>
    <w:p w:rsidR="003B7F70" w:rsidRPr="00081B7D" w:rsidRDefault="003B7F70" w:rsidP="00657E68">
      <w:pPr>
        <w:pStyle w:val="Standard"/>
        <w:ind w:left="-284"/>
      </w:pPr>
      <w:r w:rsidRPr="00081B7D">
        <w:rPr>
          <w:noProof/>
          <w:lang w:eastAsia="fr-FR"/>
        </w:rPr>
        <w:drawing>
          <wp:inline distT="0" distB="0" distL="0" distR="0">
            <wp:extent cx="6400800" cy="3533423"/>
            <wp:effectExtent l="19050" t="0" r="0" b="0"/>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6400800" cy="3533423"/>
                    </a:xfrm>
                    <a:prstGeom prst="rect">
                      <a:avLst/>
                    </a:prstGeom>
                    <a:noFill/>
                    <a:ln w="9525">
                      <a:noFill/>
                      <a:miter lim="800000"/>
                      <a:headEnd/>
                      <a:tailEnd/>
                    </a:ln>
                  </pic:spPr>
                </pic:pic>
              </a:graphicData>
            </a:graphic>
          </wp:inline>
        </w:drawing>
      </w:r>
    </w:p>
    <w:p w:rsidR="009D7C27" w:rsidRPr="00081B7D" w:rsidRDefault="009D7C27" w:rsidP="001541A6">
      <w:pPr>
        <w:pStyle w:val="Standard"/>
      </w:pPr>
      <w:r w:rsidRPr="00081B7D">
        <w:lastRenderedPageBreak/>
        <w:t xml:space="preserve">La banque de détail </w:t>
      </w:r>
      <w:r w:rsidR="003B7F70" w:rsidRPr="00081B7D">
        <w:t xml:space="preserve">se manifeste </w:t>
      </w:r>
      <w:r w:rsidRPr="00081B7D">
        <w:t>en France </w:t>
      </w:r>
      <w:r w:rsidR="003B7F70" w:rsidRPr="00081B7D">
        <w:t>sous</w:t>
      </w:r>
      <w:r w:rsidRPr="00081B7D">
        <w:t xml:space="preserve"> les enseignes Société Générale, Crédit du Nord et </w:t>
      </w:r>
      <w:proofErr w:type="spellStart"/>
      <w:r w:rsidRPr="00081B7D">
        <w:t>Boursorama</w:t>
      </w:r>
      <w:proofErr w:type="spellEnd"/>
      <w:r w:rsidRPr="00081B7D">
        <w:t xml:space="preserve">  qui offrent des gammes de services financiers </w:t>
      </w:r>
      <w:r w:rsidR="00BD544F" w:rsidRPr="00081B7D">
        <w:t>ou</w:t>
      </w:r>
      <w:r w:rsidRPr="00081B7D">
        <w:t xml:space="preserve"> à l’international,</w:t>
      </w:r>
      <w:r w:rsidR="00BD544F" w:rsidRPr="00081B7D">
        <w:t xml:space="preserve"> avec des</w:t>
      </w:r>
      <w:r w:rsidRPr="00081B7D">
        <w:t xml:space="preserve"> services financiers et assurances avec des réseaux présents dans les zones géographiques en développement et des métiers spécia</w:t>
      </w:r>
      <w:r w:rsidR="00BD544F" w:rsidRPr="00081B7D">
        <w:t>lisés</w:t>
      </w:r>
      <w:r w:rsidRPr="00081B7D">
        <w:t>.</w:t>
      </w:r>
    </w:p>
    <w:p w:rsidR="009D7C27" w:rsidRPr="00081B7D" w:rsidRDefault="009D7C27" w:rsidP="001541A6">
      <w:pPr>
        <w:pStyle w:val="Standard"/>
      </w:pPr>
    </w:p>
    <w:p w:rsidR="009D7C27" w:rsidRPr="00081B7D" w:rsidRDefault="006E2502" w:rsidP="001541A6">
      <w:pPr>
        <w:pStyle w:val="Standard"/>
      </w:pPr>
      <w:r w:rsidRPr="00081B7D">
        <w:t xml:space="preserve">La </w:t>
      </w:r>
      <w:r w:rsidR="009D7C27" w:rsidRPr="00081B7D">
        <w:t xml:space="preserve">Société Générale figure dans les principaux indices de développement durable : Dow Jones </w:t>
      </w:r>
      <w:proofErr w:type="spellStart"/>
      <w:r w:rsidR="009D7C27" w:rsidRPr="00081B7D">
        <w:t>Sustainability</w:t>
      </w:r>
      <w:proofErr w:type="spellEnd"/>
      <w:r w:rsidR="009D7C27" w:rsidRPr="00081B7D">
        <w:t xml:space="preserve"> Index (Europe), FSTE4Good (Global et Europe) et l’ensemble des indices STOXX ESG Leaders</w:t>
      </w:r>
      <w:r w:rsidR="003B7F70" w:rsidRPr="00081B7D">
        <w:t>.</w:t>
      </w:r>
    </w:p>
    <w:p w:rsidR="00F5201E" w:rsidRPr="00081B7D" w:rsidRDefault="00F5201E" w:rsidP="001541A6">
      <w:pPr>
        <w:pStyle w:val="Standard"/>
      </w:pPr>
    </w:p>
    <w:p w:rsidR="00F5201E" w:rsidRPr="00081B7D" w:rsidRDefault="00F5201E" w:rsidP="00F5201E">
      <w:pPr>
        <w:pStyle w:val="Heading3"/>
        <w:rPr>
          <w:lang w:val="fr-FR"/>
        </w:rPr>
      </w:pPr>
      <w:bookmarkStart w:id="7" w:name="_Toc494147784"/>
      <w:r w:rsidRPr="00081B7D">
        <w:rPr>
          <w:lang w:val="fr-FR"/>
        </w:rPr>
        <w:t>Résultats financiers au T2 de 2017</w:t>
      </w:r>
      <w:bookmarkEnd w:id="7"/>
    </w:p>
    <w:p w:rsidR="003B7F70" w:rsidRPr="00081B7D" w:rsidRDefault="003B7F70" w:rsidP="001541A6">
      <w:pPr>
        <w:pStyle w:val="Standard"/>
      </w:pPr>
    </w:p>
    <w:p w:rsidR="008A6109" w:rsidRPr="00081B7D" w:rsidRDefault="00FA6707" w:rsidP="001541A6">
      <w:pPr>
        <w:pStyle w:val="Standard"/>
      </w:pPr>
      <w:r w:rsidRPr="00081B7D">
        <w:rPr>
          <w:noProof/>
          <w:lang w:eastAsia="fr-FR"/>
        </w:rPr>
        <w:drawing>
          <wp:inline distT="0" distB="0" distL="0" distR="0">
            <wp:extent cx="5940425" cy="3881765"/>
            <wp:effectExtent l="19050" t="0" r="3175" b="0"/>
            <wp:docPr id="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srcRect/>
                    <a:stretch>
                      <a:fillRect/>
                    </a:stretch>
                  </pic:blipFill>
                  <pic:spPr bwMode="auto">
                    <a:xfrm>
                      <a:off x="0" y="0"/>
                      <a:ext cx="5940425" cy="3881765"/>
                    </a:xfrm>
                    <a:prstGeom prst="rect">
                      <a:avLst/>
                    </a:prstGeom>
                    <a:noFill/>
                    <a:ln w="9525">
                      <a:noFill/>
                      <a:miter lim="800000"/>
                      <a:headEnd/>
                      <a:tailEnd/>
                    </a:ln>
                  </pic:spPr>
                </pic:pic>
              </a:graphicData>
            </a:graphic>
          </wp:inline>
        </w:drawing>
      </w:r>
    </w:p>
    <w:p w:rsidR="000F1B57" w:rsidRPr="00081B7D" w:rsidRDefault="00D63533" w:rsidP="001541A6">
      <w:pPr>
        <w:pStyle w:val="Standard"/>
      </w:pPr>
      <w:r w:rsidRPr="00081B7D">
        <w:t xml:space="preserve">Sur les </w:t>
      </w:r>
      <w:r w:rsidR="00F5201E" w:rsidRPr="00081B7D">
        <w:t>Activités de Marché et Services aux Investisseurs</w:t>
      </w:r>
      <w:r w:rsidRPr="00081B7D">
        <w:t>, le</w:t>
      </w:r>
      <w:r w:rsidR="00F5201E" w:rsidRPr="00081B7D">
        <w:t xml:space="preserve"> </w:t>
      </w:r>
      <w:r w:rsidR="00950565" w:rsidRPr="00081B7D">
        <w:t>p</w:t>
      </w:r>
      <w:r w:rsidR="00F5201E" w:rsidRPr="00081B7D">
        <w:t xml:space="preserve">roduit net bancaire </w:t>
      </w:r>
      <w:r w:rsidRPr="00081B7D">
        <w:t>reflète des</w:t>
      </w:r>
      <w:r w:rsidR="00F5201E" w:rsidRPr="00081B7D">
        <w:t xml:space="preserve"> revenus solides dans les produits structurés mais faible activité sur</w:t>
      </w:r>
      <w:r w:rsidR="000F1B57" w:rsidRPr="00081B7D">
        <w:t xml:space="preserve"> le cash et les dérivés de flux.</w:t>
      </w:r>
    </w:p>
    <w:p w:rsidR="000F1B57" w:rsidRPr="00081B7D" w:rsidRDefault="00C71476" w:rsidP="001541A6">
      <w:pPr>
        <w:pStyle w:val="Standard"/>
      </w:pPr>
      <w:r w:rsidRPr="00081B7D">
        <w:lastRenderedPageBreak/>
        <w:t xml:space="preserve">Sur </w:t>
      </w:r>
      <w:r w:rsidR="00F5201E" w:rsidRPr="00081B7D">
        <w:t xml:space="preserve">FICC </w:t>
      </w:r>
      <w:r w:rsidRPr="00081B7D">
        <w:t>la</w:t>
      </w:r>
      <w:r w:rsidR="00F5201E" w:rsidRPr="00081B7D">
        <w:t xml:space="preserve"> demande pour les produits structurés</w:t>
      </w:r>
      <w:r w:rsidRPr="00081B7D">
        <w:t xml:space="preserve"> est dynamique</w:t>
      </w:r>
      <w:r w:rsidR="00F5201E" w:rsidRPr="00081B7D">
        <w:t xml:space="preserve">, </w:t>
      </w:r>
      <w:r w:rsidRPr="00081B7D">
        <w:t xml:space="preserve">à l’opposé, une </w:t>
      </w:r>
      <w:r w:rsidR="00F5201E" w:rsidRPr="00081B7D">
        <w:t xml:space="preserve">forte baisse de l’activité de taux </w:t>
      </w:r>
      <w:r w:rsidRPr="00081B7D">
        <w:t xml:space="preserve">est observée </w:t>
      </w:r>
      <w:r w:rsidR="00F5201E" w:rsidRPr="00081B7D">
        <w:t>du fait d’un environnement dégradé</w:t>
      </w:r>
      <w:r w:rsidRPr="00081B7D">
        <w:t>.</w:t>
      </w:r>
    </w:p>
    <w:p w:rsidR="00F5201E" w:rsidRPr="00081B7D" w:rsidRDefault="00C71476" w:rsidP="001541A6">
      <w:pPr>
        <w:pStyle w:val="Standard"/>
      </w:pPr>
      <w:r w:rsidRPr="00081B7D">
        <w:t xml:space="preserve">Sur les </w:t>
      </w:r>
      <w:r w:rsidR="00F5201E" w:rsidRPr="00081B7D">
        <w:t>Métier</w:t>
      </w:r>
      <w:r w:rsidRPr="00081B7D">
        <w:t>s</w:t>
      </w:r>
      <w:r w:rsidR="00F5201E" w:rsidRPr="00081B7D">
        <w:t xml:space="preserve"> Titres</w:t>
      </w:r>
      <w:r w:rsidRPr="00081B7D">
        <w:t xml:space="preserve"> la SG voit une </w:t>
      </w:r>
      <w:r w:rsidR="00F5201E" w:rsidRPr="00081B7D">
        <w:t xml:space="preserve"> progression</w:t>
      </w:r>
      <w:r w:rsidRPr="00081B7D">
        <w:t xml:space="preserve">+8,2% </w:t>
      </w:r>
      <w:r w:rsidR="00F5201E" w:rsidRPr="00081B7D">
        <w:t xml:space="preserve"> des commissions tirée par le dynamisme de l’activité commerciale</w:t>
      </w:r>
    </w:p>
    <w:p w:rsidR="008A6109" w:rsidRPr="00081B7D" w:rsidRDefault="008A6109" w:rsidP="001541A6">
      <w:pPr>
        <w:pStyle w:val="Standard"/>
      </w:pPr>
      <w:r w:rsidRPr="00081B7D">
        <w:rPr>
          <w:noProof/>
          <w:lang w:eastAsia="fr-FR"/>
        </w:rPr>
        <w:drawing>
          <wp:inline distT="0" distB="0" distL="0" distR="0">
            <wp:extent cx="4880328" cy="5080543"/>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4882671" cy="5082982"/>
                    </a:xfrm>
                    <a:prstGeom prst="rect">
                      <a:avLst/>
                    </a:prstGeom>
                    <a:noFill/>
                    <a:ln w="9525">
                      <a:noFill/>
                      <a:miter lim="800000"/>
                      <a:headEnd/>
                      <a:tailEnd/>
                    </a:ln>
                  </pic:spPr>
                </pic:pic>
              </a:graphicData>
            </a:graphic>
          </wp:inline>
        </w:drawing>
      </w:r>
    </w:p>
    <w:p w:rsidR="008A6109" w:rsidRPr="00081B7D" w:rsidRDefault="008A6109" w:rsidP="001541A6">
      <w:pPr>
        <w:pStyle w:val="Standard"/>
      </w:pPr>
    </w:p>
    <w:p w:rsidR="00F5201E" w:rsidRPr="00081B7D" w:rsidRDefault="00D63533" w:rsidP="00F41F72">
      <w:pPr>
        <w:pStyle w:val="Standard"/>
      </w:pPr>
      <w:r w:rsidRPr="00081B7D">
        <w:t xml:space="preserve">Entre les Actions, le </w:t>
      </w:r>
      <w:proofErr w:type="spellStart"/>
      <w:r w:rsidRPr="00081B7D">
        <w:t>Fixed</w:t>
      </w:r>
      <w:proofErr w:type="spellEnd"/>
      <w:r w:rsidRPr="00081B7D">
        <w:t xml:space="preserve"> </w:t>
      </w:r>
      <w:proofErr w:type="spellStart"/>
      <w:r w:rsidRPr="00081B7D">
        <w:t>Income</w:t>
      </w:r>
      <w:proofErr w:type="spellEnd"/>
      <w:r w:rsidRPr="00081B7D">
        <w:t xml:space="preserve">, le </w:t>
      </w:r>
      <w:proofErr w:type="spellStart"/>
      <w:r w:rsidRPr="00081B7D">
        <w:t>Fiancement</w:t>
      </w:r>
      <w:proofErr w:type="spellEnd"/>
      <w:r w:rsidRPr="00081B7D">
        <w:t xml:space="preserve"> et conseil, la Société Générale se retrouve avec 226Md EUR d’actifs sous gestion et 2331 </w:t>
      </w:r>
      <w:proofErr w:type="spellStart"/>
      <w:r w:rsidRPr="00081B7D">
        <w:t>MdEUR</w:t>
      </w:r>
      <w:proofErr w:type="spellEnd"/>
      <w:r w:rsidRPr="00081B7D">
        <w:t xml:space="preserve"> en Produit net bancaire, profitant principalement de l’effet du marché et de la gestion d’actifs chez </w:t>
      </w:r>
      <w:proofErr w:type="spellStart"/>
      <w:r w:rsidRPr="00081B7D">
        <w:t>Lyxor</w:t>
      </w:r>
      <w:proofErr w:type="spellEnd"/>
      <w:r w:rsidRPr="00081B7D">
        <w:t xml:space="preserve">, pour un saut de 14.4Md EUR </w:t>
      </w:r>
      <w:r w:rsidR="00F41F72" w:rsidRPr="00081B7D">
        <w:t xml:space="preserve">dans la première </w:t>
      </w:r>
      <w:proofErr w:type="spellStart"/>
      <w:r w:rsidR="00F41F72" w:rsidRPr="00081B7D">
        <w:t>moitiè</w:t>
      </w:r>
      <w:proofErr w:type="spellEnd"/>
      <w:r w:rsidR="00F41F72" w:rsidRPr="00081B7D">
        <w:t xml:space="preserve"> de 2017</w:t>
      </w:r>
    </w:p>
    <w:p w:rsidR="00F5201E" w:rsidRPr="00081B7D" w:rsidRDefault="00F5201E" w:rsidP="001541A6">
      <w:pPr>
        <w:pStyle w:val="Standard"/>
      </w:pPr>
    </w:p>
    <w:p w:rsidR="00F5201E" w:rsidRPr="00081B7D" w:rsidRDefault="00C71476" w:rsidP="001541A6">
      <w:pPr>
        <w:pStyle w:val="Standard"/>
      </w:pPr>
      <w:r w:rsidRPr="00081B7D">
        <w:lastRenderedPageBreak/>
        <w:t>Les opérations de marché constituent une activité où le risque est sans cesse présent.</w:t>
      </w:r>
    </w:p>
    <w:p w:rsidR="00C71476" w:rsidRPr="00081B7D" w:rsidRDefault="00C71476" w:rsidP="001541A6">
      <w:pPr>
        <w:pStyle w:val="Standard"/>
      </w:pPr>
      <w:r w:rsidRPr="00081B7D">
        <w:t>Elle s'articule autour des grandes catégories de risques susceptibles d'affecter nos résultats :</w:t>
      </w:r>
    </w:p>
    <w:p w:rsidR="00C71476" w:rsidRPr="00081B7D" w:rsidRDefault="00C71476" w:rsidP="008B6BE7">
      <w:pPr>
        <w:pStyle w:val="Standard"/>
        <w:numPr>
          <w:ilvl w:val="0"/>
          <w:numId w:val="2"/>
        </w:numPr>
        <w:spacing w:after="0"/>
      </w:pPr>
      <w:r w:rsidRPr="00081B7D">
        <w:t>risques de crédit et de contrepartie, en cas d’incapacité de clients ou d'autres contreparties à faire face à leurs engagements financiers ;</w:t>
      </w:r>
    </w:p>
    <w:p w:rsidR="00C71476" w:rsidRPr="00081B7D" w:rsidRDefault="00C71476" w:rsidP="008B6BE7">
      <w:pPr>
        <w:pStyle w:val="Standard"/>
        <w:numPr>
          <w:ilvl w:val="0"/>
          <w:numId w:val="2"/>
        </w:numPr>
        <w:spacing w:after="0"/>
      </w:pPr>
      <w:r w:rsidRPr="00081B7D">
        <w:t>risques de marché, par exemple en cas d’importante variation des prix de titres (actions, obligations) ou de matières premières ;</w:t>
      </w:r>
    </w:p>
    <w:p w:rsidR="00C71476" w:rsidRPr="00081B7D" w:rsidRDefault="00C71476" w:rsidP="008B6BE7">
      <w:pPr>
        <w:pStyle w:val="Standard"/>
        <w:numPr>
          <w:ilvl w:val="0"/>
          <w:numId w:val="2"/>
        </w:numPr>
        <w:spacing w:after="0"/>
      </w:pPr>
      <w:r w:rsidRPr="00081B7D">
        <w:t>risques opérationnels, liés à des défaillances de procédures internes, des erreurs humaines ou des aléas extérieurs ;</w:t>
      </w:r>
    </w:p>
    <w:p w:rsidR="00C71476" w:rsidRPr="00081B7D" w:rsidRDefault="00C71476" w:rsidP="008B6BE7">
      <w:pPr>
        <w:pStyle w:val="Standard"/>
        <w:numPr>
          <w:ilvl w:val="0"/>
          <w:numId w:val="2"/>
        </w:numPr>
        <w:spacing w:after="0"/>
      </w:pPr>
      <w:r w:rsidRPr="00081B7D">
        <w:t>risques structurels des taux d'intérêt et de change ;</w:t>
      </w:r>
    </w:p>
    <w:p w:rsidR="00C71476" w:rsidRPr="00081B7D" w:rsidRDefault="00C71476" w:rsidP="008B6BE7">
      <w:pPr>
        <w:pStyle w:val="Standard"/>
        <w:numPr>
          <w:ilvl w:val="0"/>
          <w:numId w:val="2"/>
        </w:numPr>
        <w:spacing w:after="0"/>
      </w:pPr>
      <w:r w:rsidRPr="00081B7D">
        <w:t>risques de liquidité, au cas où le Groupe ne pourrait faire face à ses flux de liquidité ;</w:t>
      </w:r>
    </w:p>
    <w:p w:rsidR="00C71476" w:rsidRPr="00081B7D" w:rsidRDefault="00C71476" w:rsidP="008B6BE7">
      <w:pPr>
        <w:pStyle w:val="Standard"/>
        <w:numPr>
          <w:ilvl w:val="0"/>
          <w:numId w:val="2"/>
        </w:numPr>
        <w:spacing w:after="0"/>
      </w:pPr>
      <w:r w:rsidRPr="00081B7D">
        <w:t>risques de non-conformité, y compris les risques juridiques, fiscaux et de réputation ;</w:t>
      </w:r>
    </w:p>
    <w:p w:rsidR="00C71476" w:rsidRPr="00081B7D" w:rsidRDefault="00C71476" w:rsidP="008B6BE7">
      <w:pPr>
        <w:pStyle w:val="Standard"/>
        <w:numPr>
          <w:ilvl w:val="0"/>
          <w:numId w:val="2"/>
        </w:numPr>
        <w:spacing w:after="0"/>
      </w:pPr>
      <w:r w:rsidRPr="00081B7D">
        <w:t>risque pays, en cas d’une évolution défavorable du contexte politique ou économique. </w:t>
      </w:r>
    </w:p>
    <w:p w:rsidR="00C71476" w:rsidRPr="00081B7D" w:rsidRDefault="00C71476" w:rsidP="00F41F72">
      <w:pPr>
        <w:pStyle w:val="Standard"/>
        <w:spacing w:after="0"/>
      </w:pPr>
    </w:p>
    <w:p w:rsidR="006E2502" w:rsidRPr="00081B7D" w:rsidRDefault="00F5201E" w:rsidP="001541A6">
      <w:pPr>
        <w:pStyle w:val="Standard"/>
      </w:pPr>
      <w:r w:rsidRPr="00081B7D">
        <w:rPr>
          <w:noProof/>
          <w:lang w:eastAsia="fr-FR"/>
        </w:rPr>
        <w:drawing>
          <wp:inline distT="0" distB="0" distL="0" distR="0">
            <wp:extent cx="5983111" cy="4222045"/>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srcRect/>
                    <a:stretch>
                      <a:fillRect/>
                    </a:stretch>
                  </pic:blipFill>
                  <pic:spPr bwMode="auto">
                    <a:xfrm>
                      <a:off x="0" y="0"/>
                      <a:ext cx="5982311" cy="4221480"/>
                    </a:xfrm>
                    <a:prstGeom prst="rect">
                      <a:avLst/>
                    </a:prstGeom>
                    <a:noFill/>
                    <a:ln w="9525">
                      <a:noFill/>
                      <a:miter lim="800000"/>
                      <a:headEnd/>
                      <a:tailEnd/>
                    </a:ln>
                  </pic:spPr>
                </pic:pic>
              </a:graphicData>
            </a:graphic>
          </wp:inline>
        </w:drawing>
      </w:r>
    </w:p>
    <w:p w:rsidR="006D6655" w:rsidRPr="00081B7D" w:rsidRDefault="0097027C" w:rsidP="005D635F">
      <w:pPr>
        <w:pStyle w:val="Heading2"/>
      </w:pPr>
      <w:bookmarkStart w:id="8" w:name="_Toc494147785"/>
      <w:r w:rsidRPr="00081B7D">
        <w:lastRenderedPageBreak/>
        <w:t>Présentation d’O</w:t>
      </w:r>
      <w:r w:rsidR="004C744D" w:rsidRPr="00081B7D">
        <w:t>PER</w:t>
      </w:r>
      <w:r w:rsidRPr="00081B7D">
        <w:t xml:space="preserve"> CCR</w:t>
      </w:r>
      <w:bookmarkEnd w:id="8"/>
    </w:p>
    <w:p w:rsidR="004C744D" w:rsidRPr="00081B7D" w:rsidRDefault="004C744D" w:rsidP="004C744D">
      <w:pPr>
        <w:pStyle w:val="Heading3"/>
        <w:rPr>
          <w:lang w:val="fr-FR"/>
        </w:rPr>
      </w:pPr>
      <w:bookmarkStart w:id="9" w:name="_Toc494147786"/>
      <w:r w:rsidRPr="00081B7D">
        <w:rPr>
          <w:lang w:val="fr-FR"/>
        </w:rPr>
        <w:t>Banque de Financement et d’investissement GBIS</w:t>
      </w:r>
      <w:bookmarkEnd w:id="9"/>
      <w:r w:rsidRPr="00081B7D">
        <w:rPr>
          <w:lang w:val="fr-FR"/>
        </w:rPr>
        <w:t xml:space="preserve"> </w:t>
      </w:r>
    </w:p>
    <w:p w:rsidR="00C91901" w:rsidRPr="00081B7D" w:rsidRDefault="007E2F79" w:rsidP="001541A6">
      <w:pPr>
        <w:pStyle w:val="Standard"/>
      </w:pPr>
      <w:hyperlink r:id="rId21" w:tgtFrame="_blank" w:history="1">
        <w:r w:rsidR="005F3851" w:rsidRPr="00081B7D">
          <w:t xml:space="preserve">Société Générale </w:t>
        </w:r>
        <w:proofErr w:type="spellStart"/>
        <w:r w:rsidR="005F3851" w:rsidRPr="00081B7D">
          <w:t>Corporate</w:t>
        </w:r>
        <w:proofErr w:type="spellEnd"/>
        <w:r w:rsidR="005F3851" w:rsidRPr="00081B7D">
          <w:t xml:space="preserve"> </w:t>
        </w:r>
        <w:proofErr w:type="spellStart"/>
        <w:r w:rsidR="005F3851" w:rsidRPr="00081B7D">
          <w:t>Investment</w:t>
        </w:r>
        <w:proofErr w:type="spellEnd"/>
        <w:r w:rsidR="005F3851" w:rsidRPr="00081B7D">
          <w:t xml:space="preserve"> </w:t>
        </w:r>
        <w:proofErr w:type="spellStart"/>
        <w:r w:rsidR="005F3851" w:rsidRPr="00081B7D">
          <w:t>Banking</w:t>
        </w:r>
        <w:proofErr w:type="spellEnd"/>
        <w:r w:rsidR="005F3851" w:rsidRPr="00081B7D">
          <w:t xml:space="preserve"> (SG CIB)</w:t>
        </w:r>
      </w:hyperlink>
      <w:r w:rsidR="005F3851" w:rsidRPr="00081B7D">
        <w:t xml:space="preserve"> fait partie du pôle Global </w:t>
      </w:r>
      <w:proofErr w:type="spellStart"/>
      <w:r w:rsidR="005F3851" w:rsidRPr="00081B7D">
        <w:t>Banking</w:t>
      </w:r>
      <w:proofErr w:type="spellEnd"/>
      <w:r w:rsidR="005F3851" w:rsidRPr="00081B7D">
        <w:t xml:space="preserve"> &amp; </w:t>
      </w:r>
      <w:proofErr w:type="spellStart"/>
      <w:r w:rsidR="005F3851" w:rsidRPr="00081B7D">
        <w:t>Investor</w:t>
      </w:r>
      <w:proofErr w:type="spellEnd"/>
      <w:r w:rsidR="005F3851" w:rsidRPr="00081B7D">
        <w:t xml:space="preserve"> Solutions (GBIS) du groupe Société Générale qui regroupe les activités de Banque de Financement et d’Investissement, de Banque Privée, de Gestion d’Actifs et de Servic</w:t>
      </w:r>
      <w:r w:rsidR="00C91901" w:rsidRPr="00081B7D">
        <w:t>es aux Investisseurs  avec 20</w:t>
      </w:r>
      <w:r w:rsidR="005F3851" w:rsidRPr="00081B7D">
        <w:t xml:space="preserve"> 000 collaborateurs</w:t>
      </w:r>
      <w:r w:rsidR="00C91901" w:rsidRPr="00081B7D">
        <w:t xml:space="preserve"> présents</w:t>
      </w:r>
      <w:r w:rsidR="005F3851" w:rsidRPr="00081B7D">
        <w:t xml:space="preserve"> dans 5</w:t>
      </w:r>
      <w:r w:rsidR="00C91901" w:rsidRPr="00081B7D">
        <w:t>2 pays.</w:t>
      </w:r>
    </w:p>
    <w:p w:rsidR="00C91901" w:rsidRPr="00081B7D" w:rsidRDefault="00C91901" w:rsidP="001541A6">
      <w:pPr>
        <w:pStyle w:val="Standard"/>
      </w:pPr>
      <w:r w:rsidRPr="00081B7D">
        <w:rPr>
          <w:noProof/>
          <w:lang w:eastAsia="fr-FR"/>
        </w:rPr>
        <w:drawing>
          <wp:inline distT="0" distB="0" distL="0" distR="0">
            <wp:extent cx="5429885" cy="265303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cstate="print"/>
                    <a:srcRect/>
                    <a:stretch>
                      <a:fillRect/>
                    </a:stretch>
                  </pic:blipFill>
                  <pic:spPr bwMode="auto">
                    <a:xfrm>
                      <a:off x="0" y="0"/>
                      <a:ext cx="5429885" cy="2653030"/>
                    </a:xfrm>
                    <a:prstGeom prst="rect">
                      <a:avLst/>
                    </a:prstGeom>
                    <a:noFill/>
                    <a:ln w="9525">
                      <a:noFill/>
                      <a:miter lim="800000"/>
                      <a:headEnd/>
                      <a:tailEnd/>
                    </a:ln>
                  </pic:spPr>
                </pic:pic>
              </a:graphicData>
            </a:graphic>
          </wp:inline>
        </w:drawing>
      </w:r>
    </w:p>
    <w:p w:rsidR="005F3851" w:rsidRPr="00081B7D" w:rsidRDefault="005F3851" w:rsidP="001541A6">
      <w:pPr>
        <w:pStyle w:val="Standard"/>
      </w:pPr>
      <w:r w:rsidRPr="00081B7D">
        <w:t xml:space="preserve">Chaque jour, les équipes de SGCIB fournissent aux emprunteurs (entreprises, institutions financières, secteur public) un large accès aux marchés et aux investisseurs, et proposent aux investisseurs (institutionnels, particuliers, fonds, gestionnaires d’actifs, banques privées, compagnies d’assurances et </w:t>
      </w:r>
      <w:proofErr w:type="spellStart"/>
      <w:r w:rsidRPr="00081B7D">
        <w:t>Family</w:t>
      </w:r>
      <w:proofErr w:type="spellEnd"/>
      <w:r w:rsidRPr="00081B7D">
        <w:t xml:space="preserve"> Offices) des solutions intelligentes et de nombreuses opportunités en matière d’investissement.</w:t>
      </w:r>
    </w:p>
    <w:p w:rsidR="00C91901" w:rsidRPr="00081B7D" w:rsidRDefault="00C91901" w:rsidP="001541A6">
      <w:pPr>
        <w:pStyle w:val="Standard"/>
      </w:pPr>
    </w:p>
    <w:p w:rsidR="00C91901" w:rsidRPr="00081B7D" w:rsidRDefault="00C91901" w:rsidP="00C91901">
      <w:pPr>
        <w:pStyle w:val="Heading3"/>
        <w:rPr>
          <w:lang w:val="fr-FR"/>
        </w:rPr>
      </w:pPr>
      <w:bookmarkStart w:id="10" w:name="_Toc494147787"/>
      <w:proofErr w:type="spellStart"/>
      <w:r w:rsidRPr="00081B7D">
        <w:rPr>
          <w:lang w:val="fr-FR"/>
        </w:rPr>
        <w:t>Oper</w:t>
      </w:r>
      <w:proofErr w:type="spellEnd"/>
      <w:r w:rsidRPr="00081B7D">
        <w:rPr>
          <w:lang w:val="fr-FR"/>
        </w:rPr>
        <w:t xml:space="preserve"> </w:t>
      </w:r>
      <w:proofErr w:type="spellStart"/>
      <w:r w:rsidRPr="00081B7D">
        <w:rPr>
          <w:lang w:val="fr-FR"/>
        </w:rPr>
        <w:t>Ccr</w:t>
      </w:r>
      <w:bookmarkEnd w:id="10"/>
      <w:proofErr w:type="spellEnd"/>
    </w:p>
    <w:p w:rsidR="00C91901" w:rsidRPr="00081B7D" w:rsidRDefault="00FF7801" w:rsidP="001541A6">
      <w:pPr>
        <w:pStyle w:val="Standard"/>
      </w:pPr>
      <w:r w:rsidRPr="00081B7D">
        <w:t>Comme piliers de GBIS</w:t>
      </w:r>
      <w:r w:rsidR="00C91901" w:rsidRPr="00081B7D">
        <w:t xml:space="preserve">, on trouve les métiers supports, la direction des opérations </w:t>
      </w:r>
      <w:proofErr w:type="spellStart"/>
      <w:r w:rsidR="00C91901" w:rsidRPr="00081B7D">
        <w:t>Oper</w:t>
      </w:r>
      <w:proofErr w:type="spellEnd"/>
      <w:r w:rsidR="00C91901" w:rsidRPr="00081B7D">
        <w:t xml:space="preserve">, </w:t>
      </w:r>
      <w:r w:rsidRPr="00081B7D">
        <w:t xml:space="preserve">les analystes de marchés et certifications </w:t>
      </w:r>
      <w:proofErr w:type="spellStart"/>
      <w:r w:rsidRPr="00081B7D">
        <w:t>Macc</w:t>
      </w:r>
      <w:proofErr w:type="spellEnd"/>
      <w:r w:rsidRPr="00081B7D">
        <w:t xml:space="preserve">, </w:t>
      </w:r>
      <w:r w:rsidR="00C91901" w:rsidRPr="00081B7D">
        <w:t xml:space="preserve">la direction des risques opérationnels </w:t>
      </w:r>
      <w:proofErr w:type="spellStart"/>
      <w:r w:rsidR="00C91901" w:rsidRPr="00081B7D">
        <w:t>Safe</w:t>
      </w:r>
      <w:proofErr w:type="spellEnd"/>
      <w:r w:rsidR="00C91901" w:rsidRPr="00081B7D">
        <w:t>,</w:t>
      </w:r>
      <w:r w:rsidRPr="00081B7D">
        <w:t xml:space="preserve"> et les métiers IT </w:t>
      </w:r>
      <w:proofErr w:type="spellStart"/>
      <w:r w:rsidRPr="00081B7D">
        <w:t>Itec</w:t>
      </w:r>
      <w:proofErr w:type="spellEnd"/>
      <w:r w:rsidRPr="00081B7D">
        <w:t xml:space="preserve">. </w:t>
      </w:r>
    </w:p>
    <w:p w:rsidR="00FF7801" w:rsidRPr="00081B7D" w:rsidRDefault="00FF7801" w:rsidP="001541A6">
      <w:pPr>
        <w:pStyle w:val="Standard"/>
      </w:pPr>
      <w:r w:rsidRPr="00081B7D">
        <w:t xml:space="preserve">Lors de mon stage, j’ai été accueillie au sein du département </w:t>
      </w:r>
      <w:proofErr w:type="spellStart"/>
      <w:r w:rsidRPr="00081B7D">
        <w:t>Oper</w:t>
      </w:r>
      <w:proofErr w:type="spellEnd"/>
      <w:r w:rsidRPr="00081B7D">
        <w:t xml:space="preserve"> </w:t>
      </w:r>
      <w:proofErr w:type="spellStart"/>
      <w:r w:rsidRPr="00081B7D">
        <w:t>Ccr</w:t>
      </w:r>
      <w:proofErr w:type="spellEnd"/>
      <w:r w:rsidRPr="00081B7D">
        <w:t>, le département chargé du collatéral dans l’</w:t>
      </w:r>
      <w:r w:rsidR="00BD13AB" w:rsidRPr="00081B7D">
        <w:t xml:space="preserve">organisation, depuis la gestion centrale des marges et des paniers d'actifs jusqu'à l'allocation et </w:t>
      </w:r>
      <w:r w:rsidR="00BD13AB" w:rsidRPr="00081B7D">
        <w:lastRenderedPageBreak/>
        <w:t>l'optimisation des actifs, générant ainsi une réduction des coûts opérationnels et de financement.</w:t>
      </w:r>
    </w:p>
    <w:p w:rsidR="00BD13AB" w:rsidRPr="00081B7D" w:rsidRDefault="00BD13AB" w:rsidP="001541A6">
      <w:pPr>
        <w:pStyle w:val="Standard"/>
      </w:pPr>
      <w:r w:rsidRPr="00081B7D">
        <w:t xml:space="preserve">Dans le souci d'aider ses clients à affronter cet environnement complexe de gestion du collatéral, Société Générale a lancé en avril 2015 une solution d'externalisation de la gestion du collatéral. Baptisée « Tempo », cette solution de gestion du collatéral pour compte de tiers fournit une assistance sur toute catégorie d'actifs pour la gamme complète de leurs expositions </w:t>
      </w:r>
      <w:proofErr w:type="spellStart"/>
      <w:r w:rsidRPr="00081B7D">
        <w:t>collatéralisées</w:t>
      </w:r>
      <w:proofErr w:type="spellEnd"/>
      <w:r w:rsidRPr="00081B7D">
        <w:t>, notamment pour les négociations sur les dérivés (listés ou OTC), le prêt de titres et les transactions de prêt/emprunt.   « Tempo » fait partie d’une offre plus large de Société Générale, « Orchestra », pour les produits dérivés, et constitue une combinaison unique de l'expertise du Groupe en gestion du collatéral multi-actifs pour une meilleur exploitation du collatéral par les clients.</w:t>
      </w:r>
    </w:p>
    <w:p w:rsidR="005F3851" w:rsidRPr="00081B7D" w:rsidRDefault="00BD13AB" w:rsidP="001541A6">
      <w:pPr>
        <w:pStyle w:val="Standard"/>
      </w:pPr>
      <w:r w:rsidRPr="00081B7D">
        <w:t xml:space="preserve">Notre équipe est chargée du collatéral non cash sur les contrats de repos et prêts emprunt. </w:t>
      </w:r>
    </w:p>
    <w:p w:rsidR="00BD13AB" w:rsidRPr="00081B7D" w:rsidRDefault="00BD13AB" w:rsidP="001541A6">
      <w:pPr>
        <w:pStyle w:val="Standard"/>
      </w:pPr>
      <w:r w:rsidRPr="00081B7D">
        <w:t xml:space="preserve">On gère entre autre les appels de marge quotidiens avec les différentes contreparties. </w:t>
      </w:r>
    </w:p>
    <w:p w:rsidR="00BD13AB" w:rsidRPr="00081B7D" w:rsidRDefault="00BD13AB" w:rsidP="001541A6">
      <w:pPr>
        <w:pStyle w:val="Standard"/>
      </w:pPr>
    </w:p>
    <w:p w:rsidR="005F3851" w:rsidRPr="00081B7D" w:rsidRDefault="004C744D" w:rsidP="00081B7D">
      <w:pPr>
        <w:pStyle w:val="Standard"/>
        <w:jc w:val="center"/>
      </w:pPr>
      <w:r w:rsidRPr="00081B7D">
        <w:rPr>
          <w:noProof/>
          <w:lang w:eastAsia="fr-FR"/>
        </w:rPr>
        <w:drawing>
          <wp:inline distT="0" distB="0" distL="0" distR="0">
            <wp:extent cx="4766945" cy="3171825"/>
            <wp:effectExtent l="19050" t="0" r="0" b="0"/>
            <wp:docPr id="6" name="Picture 4" descr="Image result for societe generale la defense basal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societe generale la defense basalte"/>
                    <pic:cNvPicPr>
                      <a:picLocks noChangeAspect="1" noChangeArrowheads="1"/>
                    </pic:cNvPicPr>
                  </pic:nvPicPr>
                  <pic:blipFill>
                    <a:blip r:embed="rId23" cstate="print"/>
                    <a:srcRect/>
                    <a:stretch>
                      <a:fillRect/>
                    </a:stretch>
                  </pic:blipFill>
                  <pic:spPr bwMode="auto">
                    <a:xfrm>
                      <a:off x="0" y="0"/>
                      <a:ext cx="4766945" cy="3171825"/>
                    </a:xfrm>
                    <a:prstGeom prst="rect">
                      <a:avLst/>
                    </a:prstGeom>
                    <a:noFill/>
                    <a:ln w="9525">
                      <a:noFill/>
                      <a:miter lim="800000"/>
                      <a:headEnd/>
                      <a:tailEnd/>
                    </a:ln>
                  </pic:spPr>
                </pic:pic>
              </a:graphicData>
            </a:graphic>
          </wp:inline>
        </w:drawing>
      </w:r>
    </w:p>
    <w:p w:rsidR="00C8696E" w:rsidRPr="00081B7D" w:rsidRDefault="005F3851" w:rsidP="005F3851">
      <w:pPr>
        <w:pStyle w:val="Caption"/>
        <w:jc w:val="center"/>
      </w:pPr>
      <w:bookmarkStart w:id="11" w:name="_Toc494147811"/>
      <w:r w:rsidRPr="00081B7D">
        <w:t xml:space="preserve">Figure </w:t>
      </w:r>
      <w:fldSimple w:instr=" SEQ Figure \* ARABIC ">
        <w:r w:rsidR="007D6C7C">
          <w:rPr>
            <w:noProof/>
          </w:rPr>
          <w:t>1</w:t>
        </w:r>
      </w:fldSimple>
      <w:r w:rsidRPr="00081B7D">
        <w:t xml:space="preserve"> Salle de marché de l'immeuble Basalte à la Défense</w:t>
      </w:r>
      <w:bookmarkEnd w:id="11"/>
    </w:p>
    <w:p w:rsidR="00C91901" w:rsidRPr="00081B7D" w:rsidRDefault="00C91901" w:rsidP="00C91901">
      <w:pPr>
        <w:sectPr w:rsidR="00C91901" w:rsidRPr="00081B7D" w:rsidSect="008A6109">
          <w:headerReference w:type="default" r:id="rId24"/>
          <w:pgSz w:w="11906" w:h="16838"/>
          <w:pgMar w:top="1417" w:right="1417" w:bottom="1417" w:left="1134" w:header="3" w:footer="191" w:gutter="0"/>
          <w:cols w:space="708"/>
          <w:docGrid w:linePitch="360"/>
        </w:sectPr>
      </w:pPr>
    </w:p>
    <w:p w:rsidR="000E7451" w:rsidRPr="00564CDD" w:rsidRDefault="000E7451" w:rsidP="000E7451">
      <w:pPr>
        <w:pStyle w:val="Heading1"/>
      </w:pPr>
      <w:bookmarkStart w:id="12" w:name="_Toc494147788"/>
      <w:r w:rsidRPr="00564CDD">
        <w:lastRenderedPageBreak/>
        <w:t xml:space="preserve">Gestion </w:t>
      </w:r>
      <w:proofErr w:type="gramStart"/>
      <w:r w:rsidRPr="00564CDD">
        <w:t>du Collatéral</w:t>
      </w:r>
      <w:proofErr w:type="gramEnd"/>
      <w:r w:rsidRPr="00564CDD">
        <w:t xml:space="preserve"> face Risque de Contrepartie</w:t>
      </w:r>
      <w:bookmarkEnd w:id="12"/>
    </w:p>
    <w:p w:rsidR="000E7451" w:rsidRDefault="000E7451" w:rsidP="000E7451">
      <w:pPr>
        <w:pStyle w:val="Heading2"/>
      </w:pPr>
      <w:bookmarkStart w:id="13" w:name="_Toc494147789"/>
      <w:r w:rsidRPr="00081B7D">
        <w:t>Le collatéral</w:t>
      </w:r>
      <w:bookmarkEnd w:id="13"/>
    </w:p>
    <w:p w:rsidR="000E7451" w:rsidRPr="00DE6B01" w:rsidRDefault="000E7451" w:rsidP="000E7451">
      <w:pPr>
        <w:pStyle w:val="Standard"/>
      </w:pPr>
      <w:r>
        <w:t xml:space="preserve">Le collatéral est fondamental dans les marchés financiers d’aujourd’hui. Il participe indéniablement dans la stabilité financière. </w:t>
      </w:r>
      <w:r w:rsidRPr="00DE6B01">
        <w:t xml:space="preserve">Pour les prêteurs comme pour les emprunteurs, le collatéral </w:t>
      </w:r>
      <w:r>
        <w:t xml:space="preserve">est bénéfique pour les deux, en procurant une protection au prêteur et </w:t>
      </w:r>
      <w:r w:rsidRPr="00DE6B01">
        <w:t>r</w:t>
      </w:r>
      <w:r>
        <w:t>éduisant ainsi considérablement le risque de contrepartie et puis en permettant à l’emprunteur l’accès un des dettes à meilleur de grade inférieur, à un meilleur taux d’intérêt.</w:t>
      </w:r>
    </w:p>
    <w:p w:rsidR="000E7451" w:rsidRPr="00E04D64" w:rsidRDefault="000E7451" w:rsidP="000E7451">
      <w:pPr>
        <w:pStyle w:val="Standard"/>
      </w:pPr>
      <w:r w:rsidRPr="00E04D64">
        <w:t xml:space="preserve">Le collatéral est ainsi supporté dans tout le processus du </w:t>
      </w:r>
      <w:proofErr w:type="spellStart"/>
      <w:r w:rsidRPr="00E04D64">
        <w:t>trading</w:t>
      </w:r>
      <w:proofErr w:type="spellEnd"/>
      <w:r w:rsidRPr="00E04D64">
        <w:t>, les pay</w:t>
      </w:r>
      <w:r>
        <w:t>e</w:t>
      </w:r>
      <w:r w:rsidRPr="00E04D64">
        <w:t xml:space="preserve">ments, le clearing, au </w:t>
      </w:r>
      <w:r>
        <w:t>règlement (</w:t>
      </w:r>
      <w:proofErr w:type="spellStart"/>
      <w:r>
        <w:t>settlement</w:t>
      </w:r>
      <w:proofErr w:type="spellEnd"/>
      <w:r>
        <w:t>)</w:t>
      </w:r>
      <w:r w:rsidRPr="00E04D64">
        <w:t>.</w:t>
      </w:r>
    </w:p>
    <w:p w:rsidR="000E7451" w:rsidRDefault="000E7451" w:rsidP="000E7451">
      <w:pPr>
        <w:pStyle w:val="NormalWeb"/>
        <w:rPr>
          <w:rFonts w:asciiTheme="majorHAnsi" w:eastAsiaTheme="minorHAnsi" w:hAnsiTheme="majorHAnsi" w:cstheme="minorBidi"/>
          <w:sz w:val="28"/>
          <w:szCs w:val="22"/>
          <w:lang w:eastAsia="en-US"/>
        </w:rPr>
      </w:pPr>
      <w:r w:rsidRPr="007D7B13">
        <w:rPr>
          <w:rFonts w:asciiTheme="majorHAnsi" w:eastAsiaTheme="minorHAnsi" w:hAnsiTheme="majorHAnsi" w:cstheme="minorBidi"/>
          <w:sz w:val="28"/>
          <w:szCs w:val="22"/>
          <w:lang w:eastAsia="en-US"/>
        </w:rPr>
        <w:t xml:space="preserve">Le </w:t>
      </w:r>
      <w:r>
        <w:rPr>
          <w:rFonts w:asciiTheme="majorHAnsi" w:eastAsiaTheme="minorHAnsi" w:hAnsiTheme="majorHAnsi" w:cstheme="minorBidi"/>
          <w:sz w:val="28"/>
          <w:szCs w:val="22"/>
          <w:lang w:eastAsia="en-US"/>
        </w:rPr>
        <w:t xml:space="preserve"> collatéral est un actif qui peut prendre différentes formes. </w:t>
      </w:r>
      <w:r w:rsidRPr="00AB1E6C">
        <w:rPr>
          <w:rFonts w:asciiTheme="majorHAnsi" w:eastAsiaTheme="minorHAnsi" w:hAnsiTheme="majorHAnsi" w:cstheme="minorBidi"/>
          <w:sz w:val="28"/>
          <w:szCs w:val="22"/>
          <w:lang w:eastAsia="en-US"/>
        </w:rPr>
        <w:t>Cash, actions ou obligations dans le cas des contrats r</w:t>
      </w:r>
      <w:r>
        <w:rPr>
          <w:rFonts w:asciiTheme="majorHAnsi" w:eastAsiaTheme="minorHAnsi" w:hAnsiTheme="majorHAnsi" w:cstheme="minorBidi"/>
          <w:sz w:val="28"/>
          <w:szCs w:val="22"/>
          <w:lang w:eastAsia="en-US"/>
        </w:rPr>
        <w:t xml:space="preserve">epos ou prêt emprunt par exemple, mais souvent sous forme d’actifs assez liquides, et protège ainsi contre un défaut. </w:t>
      </w:r>
    </w:p>
    <w:p w:rsidR="000E7451" w:rsidRDefault="000E7451" w:rsidP="000E7451">
      <w:pPr>
        <w:pStyle w:val="NormalWeb"/>
        <w:rPr>
          <w:rFonts w:ascii="SapientSansRegular" w:hAnsi="SapientSansRegular"/>
          <w:color w:val="222625"/>
        </w:rPr>
      </w:pPr>
      <w:r w:rsidRPr="00AB1E6C">
        <w:rPr>
          <w:rFonts w:asciiTheme="majorHAnsi" w:eastAsiaTheme="minorHAnsi" w:hAnsiTheme="majorHAnsi" w:cstheme="minorBidi"/>
          <w:sz w:val="28"/>
          <w:szCs w:val="22"/>
          <w:lang w:eastAsia="en-US"/>
        </w:rPr>
        <w:t>En ce moment, les régulateurs essayent de faire basculer les contrats du marché de gré</w:t>
      </w:r>
      <w:r>
        <w:rPr>
          <w:rFonts w:asciiTheme="majorHAnsi" w:eastAsiaTheme="minorHAnsi" w:hAnsiTheme="majorHAnsi" w:cstheme="minorBidi"/>
          <w:sz w:val="28"/>
          <w:szCs w:val="22"/>
          <w:lang w:eastAsia="en-US"/>
        </w:rPr>
        <w:t xml:space="preserve"> à gré vers un modèle de clearing centralisé. </w:t>
      </w:r>
      <w:r w:rsidRPr="00AB1E6C">
        <w:rPr>
          <w:rFonts w:asciiTheme="majorHAnsi" w:eastAsiaTheme="minorHAnsi" w:hAnsiTheme="majorHAnsi" w:cstheme="minorBidi"/>
          <w:sz w:val="28"/>
          <w:szCs w:val="22"/>
          <w:lang w:eastAsia="en-US"/>
        </w:rPr>
        <w:t>Dans ce cas, plusieurs trillions de dollars de collatéral en plus vont être émis sur le marché</w:t>
      </w:r>
      <w:r>
        <w:rPr>
          <w:rFonts w:asciiTheme="majorHAnsi" w:eastAsiaTheme="minorHAnsi" w:hAnsiTheme="majorHAnsi" w:cstheme="minorBidi"/>
          <w:sz w:val="28"/>
          <w:szCs w:val="22"/>
          <w:lang w:eastAsia="en-US"/>
        </w:rPr>
        <w:t xml:space="preserve">. </w:t>
      </w:r>
    </w:p>
    <w:p w:rsidR="000E7451" w:rsidRDefault="000E7451" w:rsidP="000E7451">
      <w:pPr>
        <w:pStyle w:val="NormalWeb"/>
        <w:rPr>
          <w:rFonts w:asciiTheme="majorHAnsi" w:eastAsiaTheme="minorHAnsi" w:hAnsiTheme="majorHAnsi" w:cstheme="minorBidi"/>
          <w:sz w:val="28"/>
          <w:szCs w:val="22"/>
          <w:lang w:eastAsia="en-US"/>
        </w:rPr>
      </w:pPr>
      <w:r w:rsidRPr="00AA0604">
        <w:rPr>
          <w:rFonts w:asciiTheme="majorHAnsi" w:eastAsiaTheme="minorHAnsi" w:hAnsiTheme="majorHAnsi" w:cstheme="minorBidi"/>
          <w:sz w:val="28"/>
          <w:szCs w:val="22"/>
          <w:lang w:eastAsia="en-US"/>
        </w:rPr>
        <w:t xml:space="preserve">Les chambres de compensation </w:t>
      </w:r>
      <w:r w:rsidR="00DD586D" w:rsidRPr="00AA0604">
        <w:rPr>
          <w:rFonts w:asciiTheme="majorHAnsi" w:eastAsiaTheme="minorHAnsi" w:hAnsiTheme="majorHAnsi" w:cstheme="minorBidi"/>
          <w:sz w:val="28"/>
          <w:szCs w:val="22"/>
          <w:lang w:eastAsia="en-US"/>
        </w:rPr>
        <w:t>f</w:t>
      </w:r>
      <w:r w:rsidR="00DD586D">
        <w:rPr>
          <w:rFonts w:asciiTheme="majorHAnsi" w:eastAsiaTheme="minorHAnsi" w:hAnsiTheme="majorHAnsi" w:cstheme="minorBidi"/>
          <w:sz w:val="28"/>
          <w:szCs w:val="22"/>
          <w:lang w:eastAsia="en-US"/>
        </w:rPr>
        <w:t>acilitent</w:t>
      </w:r>
      <w:r>
        <w:rPr>
          <w:rFonts w:asciiTheme="majorHAnsi" w:eastAsiaTheme="minorHAnsi" w:hAnsiTheme="majorHAnsi" w:cstheme="minorBidi"/>
          <w:sz w:val="28"/>
          <w:szCs w:val="22"/>
          <w:lang w:eastAsia="en-US"/>
        </w:rPr>
        <w:t xml:space="preserve"> de plus en plus l’accès  </w:t>
      </w:r>
      <w:r w:rsidR="00DD586D">
        <w:rPr>
          <w:rFonts w:asciiTheme="majorHAnsi" w:eastAsiaTheme="minorHAnsi" w:hAnsiTheme="majorHAnsi" w:cstheme="minorBidi"/>
          <w:sz w:val="28"/>
          <w:szCs w:val="22"/>
          <w:lang w:eastAsia="en-US"/>
        </w:rPr>
        <w:t>aux participants</w:t>
      </w:r>
      <w:r>
        <w:rPr>
          <w:rFonts w:asciiTheme="majorHAnsi" w:eastAsiaTheme="minorHAnsi" w:hAnsiTheme="majorHAnsi" w:cstheme="minorBidi"/>
          <w:sz w:val="28"/>
          <w:szCs w:val="22"/>
          <w:lang w:eastAsia="en-US"/>
        </w:rPr>
        <w:t xml:space="preserve"> qui souhaitent leur intervention en tant que contrepartie centrale. </w:t>
      </w:r>
    </w:p>
    <w:p w:rsidR="000E7451" w:rsidRPr="0048423F" w:rsidRDefault="000E7451" w:rsidP="000E7451">
      <w:pPr>
        <w:pStyle w:val="NormalWeb"/>
        <w:rPr>
          <w:rFonts w:asciiTheme="majorHAnsi" w:eastAsiaTheme="minorHAnsi" w:hAnsiTheme="majorHAnsi" w:cstheme="minorBidi"/>
          <w:sz w:val="28"/>
          <w:szCs w:val="22"/>
          <w:lang w:eastAsia="en-US"/>
        </w:rPr>
      </w:pPr>
      <w:r w:rsidRPr="0048423F">
        <w:rPr>
          <w:rFonts w:asciiTheme="majorHAnsi" w:eastAsiaTheme="minorHAnsi" w:hAnsiTheme="majorHAnsi" w:cstheme="minorBidi"/>
          <w:sz w:val="28"/>
          <w:szCs w:val="22"/>
          <w:lang w:eastAsia="en-US"/>
        </w:rPr>
        <w:t>Chambres de compensations ou a</w:t>
      </w:r>
      <w:r>
        <w:rPr>
          <w:rFonts w:asciiTheme="majorHAnsi" w:eastAsiaTheme="minorHAnsi" w:hAnsiTheme="majorHAnsi" w:cstheme="minorBidi"/>
          <w:sz w:val="28"/>
          <w:szCs w:val="22"/>
          <w:lang w:eastAsia="en-US"/>
        </w:rPr>
        <w:t>gents triparti, sont de plus en pus sollicités sur les marchés OTC.</w:t>
      </w:r>
    </w:p>
    <w:p w:rsidR="000E7451" w:rsidRDefault="000E7451" w:rsidP="000E7451">
      <w:pPr>
        <w:pStyle w:val="NormalWeb"/>
        <w:rPr>
          <w:rFonts w:asciiTheme="majorHAnsi" w:eastAsiaTheme="minorHAnsi" w:hAnsiTheme="majorHAnsi" w:cstheme="minorBidi"/>
          <w:sz w:val="28"/>
          <w:szCs w:val="22"/>
          <w:lang w:eastAsia="en-US"/>
        </w:rPr>
      </w:pPr>
      <w:r w:rsidRPr="0048423F">
        <w:rPr>
          <w:rFonts w:asciiTheme="majorHAnsi" w:eastAsiaTheme="minorHAnsi" w:hAnsiTheme="majorHAnsi" w:cstheme="minorBidi"/>
          <w:sz w:val="28"/>
          <w:szCs w:val="22"/>
          <w:lang w:eastAsia="en-US"/>
        </w:rPr>
        <w:t xml:space="preserve">En effet, </w:t>
      </w:r>
      <w:r>
        <w:rPr>
          <w:rFonts w:asciiTheme="majorHAnsi" w:eastAsiaTheme="minorHAnsi" w:hAnsiTheme="majorHAnsi" w:cstheme="minorBidi"/>
          <w:sz w:val="28"/>
          <w:szCs w:val="22"/>
          <w:lang w:eastAsia="en-US"/>
        </w:rPr>
        <w:t>les chiffres associés au collatéral sont énormes depuis la crise.</w:t>
      </w:r>
    </w:p>
    <w:p w:rsidR="000E7451" w:rsidRPr="00081B7D" w:rsidRDefault="000E7451" w:rsidP="000E7451">
      <w:pPr>
        <w:keepNext/>
        <w:jc w:val="center"/>
      </w:pPr>
      <w:r w:rsidRPr="00081B7D">
        <w:rPr>
          <w:noProof/>
          <w:lang w:eastAsia="fr-FR"/>
        </w:rPr>
        <w:lastRenderedPageBreak/>
        <w:drawing>
          <wp:inline distT="0" distB="0" distL="0" distR="0">
            <wp:extent cx="5248868" cy="3587692"/>
            <wp:effectExtent l="19050" t="0" r="8932" b="0"/>
            <wp:docPr id="49"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cstate="print"/>
                    <a:srcRect/>
                    <a:stretch>
                      <a:fillRect/>
                    </a:stretch>
                  </pic:blipFill>
                  <pic:spPr bwMode="auto">
                    <a:xfrm>
                      <a:off x="0" y="0"/>
                      <a:ext cx="5248740" cy="3587604"/>
                    </a:xfrm>
                    <a:prstGeom prst="rect">
                      <a:avLst/>
                    </a:prstGeom>
                    <a:noFill/>
                    <a:ln w="9525">
                      <a:noFill/>
                      <a:miter lim="800000"/>
                      <a:headEnd/>
                      <a:tailEnd/>
                    </a:ln>
                  </pic:spPr>
                </pic:pic>
              </a:graphicData>
            </a:graphic>
          </wp:inline>
        </w:drawing>
      </w:r>
    </w:p>
    <w:p w:rsidR="000E7451" w:rsidRPr="00081B7D" w:rsidRDefault="000E7451" w:rsidP="000E7451">
      <w:pPr>
        <w:pStyle w:val="Caption"/>
        <w:jc w:val="center"/>
        <w:rPr>
          <w:color w:val="262626" w:themeColor="text1" w:themeTint="D9"/>
        </w:rPr>
      </w:pPr>
      <w:bookmarkStart w:id="14" w:name="_Toc494147812"/>
      <w:r w:rsidRPr="00081B7D">
        <w:rPr>
          <w:color w:val="262626" w:themeColor="text1" w:themeTint="D9"/>
        </w:rPr>
        <w:t xml:space="preserve">Figure </w:t>
      </w:r>
      <w:r w:rsidR="007E2F79" w:rsidRPr="00081B7D">
        <w:rPr>
          <w:color w:val="262626" w:themeColor="text1" w:themeTint="D9"/>
        </w:rPr>
        <w:fldChar w:fldCharType="begin"/>
      </w:r>
      <w:r w:rsidRPr="00081B7D">
        <w:rPr>
          <w:color w:val="262626" w:themeColor="text1" w:themeTint="D9"/>
        </w:rPr>
        <w:instrText xml:space="preserve"> SEQ Figure \* ARABIC </w:instrText>
      </w:r>
      <w:r w:rsidR="007E2F79" w:rsidRPr="00081B7D">
        <w:rPr>
          <w:color w:val="262626" w:themeColor="text1" w:themeTint="D9"/>
        </w:rPr>
        <w:fldChar w:fldCharType="separate"/>
      </w:r>
      <w:r w:rsidR="007D6C7C">
        <w:rPr>
          <w:noProof/>
          <w:color w:val="262626" w:themeColor="text1" w:themeTint="D9"/>
        </w:rPr>
        <w:t>2</w:t>
      </w:r>
      <w:r w:rsidR="007E2F79" w:rsidRPr="00081B7D">
        <w:rPr>
          <w:color w:val="262626" w:themeColor="text1" w:themeTint="D9"/>
        </w:rPr>
        <w:fldChar w:fldCharType="end"/>
      </w:r>
      <w:r>
        <w:rPr>
          <w:color w:val="262626" w:themeColor="text1" w:themeTint="D9"/>
        </w:rPr>
        <w:t xml:space="preserve"> C</w:t>
      </w:r>
      <w:r w:rsidRPr="00081B7D">
        <w:rPr>
          <w:color w:val="262626" w:themeColor="text1" w:themeTint="D9"/>
        </w:rPr>
        <w:t>ollatéral en circulation</w:t>
      </w:r>
      <w:r>
        <w:rPr>
          <w:color w:val="262626" w:themeColor="text1" w:themeTint="D9"/>
        </w:rPr>
        <w:t xml:space="preserve"> dans les banques américaines</w:t>
      </w:r>
      <w:bookmarkEnd w:id="14"/>
    </w:p>
    <w:p w:rsidR="000E7451" w:rsidRDefault="000E7451" w:rsidP="000E7451">
      <w:pPr>
        <w:pStyle w:val="Standard"/>
        <w:keepNext/>
      </w:pPr>
      <w:r w:rsidRPr="00081B7D">
        <w:rPr>
          <w:noProof/>
          <w:lang w:eastAsia="fr-FR"/>
        </w:rPr>
        <w:drawing>
          <wp:inline distT="0" distB="0" distL="0" distR="0">
            <wp:extent cx="5760720" cy="3655753"/>
            <wp:effectExtent l="19050" t="0" r="0" b="0"/>
            <wp:docPr id="5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6" cstate="print"/>
                    <a:srcRect/>
                    <a:stretch>
                      <a:fillRect/>
                    </a:stretch>
                  </pic:blipFill>
                  <pic:spPr bwMode="auto">
                    <a:xfrm>
                      <a:off x="0" y="0"/>
                      <a:ext cx="5760720" cy="3655753"/>
                    </a:xfrm>
                    <a:prstGeom prst="rect">
                      <a:avLst/>
                    </a:prstGeom>
                    <a:noFill/>
                    <a:ln w="9525">
                      <a:noFill/>
                      <a:miter lim="800000"/>
                      <a:headEnd/>
                      <a:tailEnd/>
                    </a:ln>
                  </pic:spPr>
                </pic:pic>
              </a:graphicData>
            </a:graphic>
          </wp:inline>
        </w:drawing>
      </w:r>
    </w:p>
    <w:p w:rsidR="000E7451" w:rsidRPr="007C2DA2" w:rsidRDefault="000E7451" w:rsidP="000E7451">
      <w:pPr>
        <w:pStyle w:val="Caption"/>
        <w:jc w:val="center"/>
        <w:rPr>
          <w:color w:val="auto"/>
        </w:rPr>
      </w:pPr>
      <w:bookmarkStart w:id="15" w:name="_Toc494147813"/>
      <w:r w:rsidRPr="007C2DA2">
        <w:rPr>
          <w:color w:val="auto"/>
        </w:rPr>
        <w:t xml:space="preserve">Figure </w:t>
      </w:r>
      <w:r w:rsidR="007E2F79" w:rsidRPr="007C2DA2">
        <w:rPr>
          <w:color w:val="auto"/>
        </w:rPr>
        <w:fldChar w:fldCharType="begin"/>
      </w:r>
      <w:r w:rsidRPr="007C2DA2">
        <w:rPr>
          <w:color w:val="auto"/>
        </w:rPr>
        <w:instrText xml:space="preserve"> SEQ Figure \* ARABIC </w:instrText>
      </w:r>
      <w:r w:rsidR="007E2F79" w:rsidRPr="007C2DA2">
        <w:rPr>
          <w:color w:val="auto"/>
        </w:rPr>
        <w:fldChar w:fldCharType="separate"/>
      </w:r>
      <w:r w:rsidR="007D6C7C">
        <w:rPr>
          <w:noProof/>
          <w:color w:val="auto"/>
        </w:rPr>
        <w:t>3</w:t>
      </w:r>
      <w:r w:rsidR="007E2F79" w:rsidRPr="007C2DA2">
        <w:rPr>
          <w:color w:val="auto"/>
        </w:rPr>
        <w:fldChar w:fldCharType="end"/>
      </w:r>
      <w:r w:rsidRPr="007C2DA2">
        <w:rPr>
          <w:color w:val="auto"/>
        </w:rPr>
        <w:t xml:space="preserve"> Collatéral en circulation dans les banques Européenne</w:t>
      </w:r>
      <w:bookmarkEnd w:id="15"/>
    </w:p>
    <w:p w:rsidR="000E7451" w:rsidRPr="00460D1A" w:rsidRDefault="000E7451" w:rsidP="000E7451">
      <w:pPr>
        <w:pStyle w:val="NormalWeb"/>
        <w:rPr>
          <w:rFonts w:asciiTheme="majorHAnsi" w:eastAsiaTheme="minorHAnsi" w:hAnsiTheme="majorHAnsi" w:cstheme="minorBidi"/>
          <w:sz w:val="28"/>
          <w:szCs w:val="22"/>
          <w:lang w:eastAsia="en-US"/>
        </w:rPr>
      </w:pPr>
    </w:p>
    <w:p w:rsidR="000E7451" w:rsidRPr="00460D1A" w:rsidRDefault="000E7451" w:rsidP="000E7451">
      <w:pPr>
        <w:pStyle w:val="NormalWeb"/>
        <w:rPr>
          <w:rFonts w:asciiTheme="majorHAnsi" w:eastAsiaTheme="minorHAnsi" w:hAnsiTheme="majorHAnsi" w:cstheme="minorBidi"/>
          <w:sz w:val="28"/>
          <w:szCs w:val="22"/>
          <w:lang w:eastAsia="en-US"/>
        </w:rPr>
      </w:pPr>
    </w:p>
    <w:p w:rsidR="000E7451" w:rsidRPr="00460D1A" w:rsidRDefault="000E7451" w:rsidP="000E7451">
      <w:pPr>
        <w:pStyle w:val="NormalWeb"/>
        <w:rPr>
          <w:rFonts w:asciiTheme="majorHAnsi" w:eastAsiaTheme="minorHAnsi" w:hAnsiTheme="majorHAnsi" w:cstheme="minorBidi"/>
          <w:sz w:val="28"/>
          <w:szCs w:val="22"/>
          <w:lang w:eastAsia="en-US"/>
        </w:rPr>
      </w:pPr>
      <w:r w:rsidRPr="00460D1A">
        <w:rPr>
          <w:rFonts w:asciiTheme="majorHAnsi" w:eastAsiaTheme="minorHAnsi" w:hAnsiTheme="majorHAnsi" w:cstheme="minorBidi"/>
          <w:sz w:val="28"/>
          <w:szCs w:val="22"/>
          <w:lang w:eastAsia="en-US"/>
        </w:rPr>
        <w:lastRenderedPageBreak/>
        <w:t>La figure ci-dessous m</w:t>
      </w:r>
      <w:r>
        <w:rPr>
          <w:rFonts w:asciiTheme="majorHAnsi" w:eastAsiaTheme="minorHAnsi" w:hAnsiTheme="majorHAnsi" w:cstheme="minorBidi"/>
          <w:sz w:val="28"/>
          <w:szCs w:val="22"/>
          <w:lang w:eastAsia="en-US"/>
        </w:rPr>
        <w:t xml:space="preserve">ontre les taux Repo face au taux </w:t>
      </w:r>
      <w:proofErr w:type="spellStart"/>
      <w:r>
        <w:rPr>
          <w:rFonts w:asciiTheme="majorHAnsi" w:eastAsiaTheme="minorHAnsi" w:hAnsiTheme="majorHAnsi" w:cstheme="minorBidi"/>
          <w:sz w:val="28"/>
          <w:szCs w:val="22"/>
          <w:lang w:eastAsia="en-US"/>
        </w:rPr>
        <w:t>Eonia</w:t>
      </w:r>
      <w:proofErr w:type="spellEnd"/>
      <w:r>
        <w:rPr>
          <w:rFonts w:asciiTheme="majorHAnsi" w:eastAsiaTheme="minorHAnsi" w:hAnsiTheme="majorHAnsi" w:cstheme="minorBidi"/>
          <w:sz w:val="28"/>
          <w:szCs w:val="22"/>
          <w:lang w:eastAsia="en-US"/>
        </w:rPr>
        <w:t>. Ces derniers sont clairement moins intéressants.</w:t>
      </w:r>
    </w:p>
    <w:p w:rsidR="000E7451" w:rsidRDefault="000E7451" w:rsidP="000E7451">
      <w:pPr>
        <w:pStyle w:val="NormalWeb"/>
        <w:keepNext/>
      </w:pPr>
      <w:r>
        <w:rPr>
          <w:rFonts w:asciiTheme="majorHAnsi" w:hAnsiTheme="majorHAnsi"/>
          <w:noProof/>
          <w:sz w:val="28"/>
        </w:rPr>
        <w:drawing>
          <wp:inline distT="0" distB="0" distL="0" distR="0">
            <wp:extent cx="5761265" cy="3461658"/>
            <wp:effectExtent l="19050" t="0" r="0" b="0"/>
            <wp:docPr id="52"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7" cstate="print"/>
                    <a:srcRect t="5638"/>
                    <a:stretch>
                      <a:fillRect/>
                    </a:stretch>
                  </pic:blipFill>
                  <pic:spPr bwMode="auto">
                    <a:xfrm>
                      <a:off x="0" y="0"/>
                      <a:ext cx="5761265" cy="3461658"/>
                    </a:xfrm>
                    <a:prstGeom prst="rect">
                      <a:avLst/>
                    </a:prstGeom>
                    <a:noFill/>
                    <a:ln w="9525">
                      <a:noFill/>
                      <a:miter lim="800000"/>
                      <a:headEnd/>
                      <a:tailEnd/>
                    </a:ln>
                  </pic:spPr>
                </pic:pic>
              </a:graphicData>
            </a:graphic>
          </wp:inline>
        </w:drawing>
      </w:r>
    </w:p>
    <w:p w:rsidR="000E7451" w:rsidRPr="00460D1A" w:rsidRDefault="000E7451" w:rsidP="000E7451">
      <w:pPr>
        <w:pStyle w:val="Caption"/>
        <w:jc w:val="center"/>
        <w:rPr>
          <w:rFonts w:asciiTheme="majorHAnsi" w:hAnsiTheme="majorHAnsi"/>
          <w:color w:val="auto"/>
          <w:sz w:val="28"/>
          <w:szCs w:val="22"/>
        </w:rPr>
      </w:pPr>
      <w:bookmarkStart w:id="16" w:name="_Toc494147814"/>
      <w:r w:rsidRPr="00460D1A">
        <w:rPr>
          <w:color w:val="auto"/>
        </w:rPr>
        <w:t xml:space="preserve">Figure </w:t>
      </w:r>
      <w:r w:rsidR="007E2F79" w:rsidRPr="00460D1A">
        <w:rPr>
          <w:color w:val="auto"/>
        </w:rPr>
        <w:fldChar w:fldCharType="begin"/>
      </w:r>
      <w:r w:rsidRPr="00460D1A">
        <w:rPr>
          <w:color w:val="auto"/>
        </w:rPr>
        <w:instrText xml:space="preserve"> SEQ Figure \* ARABIC </w:instrText>
      </w:r>
      <w:r w:rsidR="007E2F79" w:rsidRPr="00460D1A">
        <w:rPr>
          <w:color w:val="auto"/>
        </w:rPr>
        <w:fldChar w:fldCharType="separate"/>
      </w:r>
      <w:r w:rsidR="007D6C7C">
        <w:rPr>
          <w:noProof/>
          <w:color w:val="auto"/>
        </w:rPr>
        <w:t>4</w:t>
      </w:r>
      <w:r w:rsidR="007E2F79" w:rsidRPr="00460D1A">
        <w:rPr>
          <w:color w:val="auto"/>
        </w:rPr>
        <w:fldChar w:fldCharType="end"/>
      </w:r>
      <w:r w:rsidRPr="00460D1A">
        <w:rPr>
          <w:color w:val="auto"/>
        </w:rPr>
        <w:t xml:space="preserve"> Taux Repo vs Taux </w:t>
      </w:r>
      <w:proofErr w:type="spellStart"/>
      <w:r w:rsidRPr="00460D1A">
        <w:rPr>
          <w:color w:val="auto"/>
        </w:rPr>
        <w:t>Eonia</w:t>
      </w:r>
      <w:bookmarkEnd w:id="16"/>
      <w:proofErr w:type="spellEnd"/>
    </w:p>
    <w:p w:rsidR="000E7451" w:rsidRPr="000E7451" w:rsidRDefault="000E7451" w:rsidP="000E7451">
      <w:pPr>
        <w:pStyle w:val="NormalWeb"/>
        <w:rPr>
          <w:rFonts w:asciiTheme="majorHAnsi" w:eastAsiaTheme="minorHAnsi" w:hAnsiTheme="majorHAnsi" w:cstheme="minorBidi"/>
          <w:sz w:val="28"/>
          <w:szCs w:val="22"/>
          <w:lang w:eastAsia="en-US"/>
        </w:rPr>
      </w:pPr>
    </w:p>
    <w:p w:rsidR="000E7451" w:rsidRDefault="000E7451" w:rsidP="000E7451">
      <w:pPr>
        <w:pStyle w:val="Standard"/>
      </w:pPr>
      <w:r w:rsidRPr="00460D1A">
        <w:t>Le Cash et les obligations d’état de haut niveau par exemple, repr</w:t>
      </w:r>
      <w:r>
        <w:t>ésente le collatéral le plus recherché</w:t>
      </w:r>
      <w:r w:rsidRPr="00460D1A">
        <w:t xml:space="preserve">, </w:t>
      </w:r>
      <w:r>
        <w:t>les actions quant à elles sont de plus en plus utilisées.</w:t>
      </w:r>
    </w:p>
    <w:p w:rsidR="007D6C7C" w:rsidRPr="007D6C7C" w:rsidRDefault="007D6C7C" w:rsidP="007D6C7C">
      <w:pPr>
        <w:pStyle w:val="Standard"/>
      </w:pPr>
      <w:r w:rsidRPr="007D6C7C">
        <w:t>Tous les titres peuvent être utilisés comme collatéral, à partir du moment où la contrepartie qui les reçoit les accepte. Mais pour elle, tous les types de collatéral ne se valent pas. Deux critères principaux sont à prendre en compte : la liquidité du titre et le risque de crédit de son émetteur. Ces deux caractéristiques sont variables dans le temps, rendant nécessaire une évaluation du collatéral reçu au moins quotidienne, voire plus rapprochée en cas de crise. Les obligations d’État de bonne qualité, les </w:t>
      </w:r>
      <w:proofErr w:type="spellStart"/>
      <w:r w:rsidRPr="007D6C7C">
        <w:rPr>
          <w:i/>
          <w:iCs/>
        </w:rPr>
        <w:t>Treasuries</w:t>
      </w:r>
      <w:proofErr w:type="spellEnd"/>
      <w:r w:rsidRPr="007D6C7C">
        <w:t> américains par exemple, représentent le </w:t>
      </w:r>
      <w:r w:rsidRPr="007D6C7C">
        <w:rPr>
          <w:i/>
          <w:iCs/>
        </w:rPr>
        <w:t>benchmark</w:t>
      </w:r>
      <w:r w:rsidRPr="007D6C7C">
        <w:t> du marché. Mais certaines contreparties peuvent avoir intérêt à détenir d’autres types de titres, moyennant des décotes (</w:t>
      </w:r>
      <w:proofErr w:type="spellStart"/>
      <w:r w:rsidRPr="007D6C7C">
        <w:rPr>
          <w:i/>
          <w:iCs/>
        </w:rPr>
        <w:t>haircuts</w:t>
      </w:r>
      <w:proofErr w:type="spellEnd"/>
      <w:r w:rsidRPr="007D6C7C">
        <w:t xml:space="preserve">). Les obligations d’entreprises, les actions mais aussi les produits </w:t>
      </w:r>
      <w:proofErr w:type="spellStart"/>
      <w:r w:rsidRPr="007D6C7C">
        <w:t>titrisés</w:t>
      </w:r>
      <w:proofErr w:type="spellEnd"/>
      <w:r w:rsidRPr="007D6C7C">
        <w:t xml:space="preserve"> s’ils sont assez liquides, les </w:t>
      </w:r>
      <w:proofErr w:type="spellStart"/>
      <w:r w:rsidRPr="007D6C7C">
        <w:rPr>
          <w:i/>
          <w:iCs/>
        </w:rPr>
        <w:t>covered</w:t>
      </w:r>
      <w:proofErr w:type="spellEnd"/>
      <w:r w:rsidRPr="007D6C7C">
        <w:rPr>
          <w:i/>
          <w:iCs/>
        </w:rPr>
        <w:t xml:space="preserve"> bonds</w:t>
      </w:r>
      <w:r w:rsidRPr="007D6C7C">
        <w:t xml:space="preserve"> peuvent être utilisés comme collatéral. Les matières premières comme l’or peuvent l’être également, mais dans des cas </w:t>
      </w:r>
      <w:r w:rsidRPr="007D6C7C">
        <w:lastRenderedPageBreak/>
        <w:t>particuliers : celui qui reçoit ce type de garantie doit savoir les faire fructifier et les liquider en cas de besoin. Cela demande une expertise spécifique qui fait que ce sont des actifs assez peu utilisés sur le marché </w:t>
      </w:r>
      <w:r w:rsidRPr="007D6C7C">
        <w:rPr>
          <w:i/>
          <w:iCs/>
        </w:rPr>
        <w:t>repo</w:t>
      </w:r>
      <w:r w:rsidRPr="007D6C7C">
        <w:t>. Les prêts bancaires aux entreprises (</w:t>
      </w:r>
      <w:proofErr w:type="spellStart"/>
      <w:r w:rsidRPr="007D6C7C">
        <w:rPr>
          <w:i/>
          <w:iCs/>
        </w:rPr>
        <w:t>credit</w:t>
      </w:r>
      <w:proofErr w:type="spellEnd"/>
      <w:r w:rsidRPr="007D6C7C">
        <w:rPr>
          <w:i/>
          <w:iCs/>
        </w:rPr>
        <w:t xml:space="preserve"> claims</w:t>
      </w:r>
      <w:r w:rsidRPr="007D6C7C">
        <w:t>) sont également acceptés par certaines contreparties, et c’est une solution que l’on cherche à développer sur le marché, dans un contexte de raréfaction du collatéral disponible.</w:t>
      </w:r>
    </w:p>
    <w:p w:rsidR="007D6C7C" w:rsidRPr="007D6C7C" w:rsidRDefault="007D6C7C" w:rsidP="007D6C7C">
      <w:pPr>
        <w:pStyle w:val="Standard"/>
      </w:pPr>
      <w:r w:rsidRPr="007D6C7C">
        <w:t>En revanche, un collatéral de qualité doit être le moins possible corrélé à la contrepartie qui le donne en garantie. Dans le cas contraire, un défaut de cette contrepartie rendrait probablement inutilisable les titres qu’elles auraient émis et donnés en garantie. Il ne faut pas perdre de vue que l’objectif du collatéral est de couvrir un risque primaire, celui d’un défaut de la contrepartie. Ainsi un créancier peut accepter du « mauvais » collatéral donné par une « bonne » contrepartie, alors qu’il sera susceptible de refuser y compris du « bon » collatéral dans le cas où la contrepartie est « mauvaise ».</w:t>
      </w:r>
    </w:p>
    <w:p w:rsidR="007D6C7C" w:rsidRDefault="007D6C7C" w:rsidP="000E7451">
      <w:pPr>
        <w:pStyle w:val="Standard"/>
      </w:pPr>
    </w:p>
    <w:p w:rsidR="000E7451" w:rsidRPr="00081B7D" w:rsidRDefault="000E7451" w:rsidP="000E7451">
      <w:pPr>
        <w:pStyle w:val="Heading2"/>
      </w:pPr>
      <w:r w:rsidRPr="00081B7D">
        <w:t xml:space="preserve"> </w:t>
      </w:r>
      <w:bookmarkStart w:id="17" w:name="_Toc494147790"/>
      <w:r w:rsidRPr="00081B7D">
        <w:t>Le Repo</w:t>
      </w:r>
      <w:bookmarkEnd w:id="17"/>
    </w:p>
    <w:p w:rsidR="000E7451" w:rsidRPr="00081B7D" w:rsidRDefault="000E7451" w:rsidP="000E7451">
      <w:r w:rsidRPr="00081B7D">
        <w:rPr>
          <w:noProof/>
          <w:lang w:eastAsia="fr-FR"/>
        </w:rPr>
        <w:drawing>
          <wp:inline distT="0" distB="0" distL="0" distR="0">
            <wp:extent cx="5451231" cy="2245962"/>
            <wp:effectExtent l="0" t="0" r="0" b="0"/>
            <wp:docPr id="58"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62395" cy="2250562"/>
                    </a:xfrm>
                    <a:prstGeom prst="rect">
                      <a:avLst/>
                    </a:prstGeom>
                    <a:noFill/>
                  </pic:spPr>
                </pic:pic>
              </a:graphicData>
            </a:graphic>
          </wp:inline>
        </w:drawing>
      </w:r>
    </w:p>
    <w:p w:rsidR="000E7451" w:rsidRPr="00081B7D" w:rsidRDefault="000E7451" w:rsidP="000E7451">
      <w:r w:rsidRPr="00081B7D">
        <w:rPr>
          <w:noProof/>
          <w:lang w:eastAsia="fr-FR"/>
        </w:rPr>
        <w:lastRenderedPageBreak/>
        <w:drawing>
          <wp:inline distT="0" distB="0" distL="0" distR="0">
            <wp:extent cx="5310462" cy="2151200"/>
            <wp:effectExtent l="0" t="0" r="5080" b="1905"/>
            <wp:docPr id="59"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09753" cy="2150913"/>
                    </a:xfrm>
                    <a:prstGeom prst="rect">
                      <a:avLst/>
                    </a:prstGeom>
                    <a:noFill/>
                  </pic:spPr>
                </pic:pic>
              </a:graphicData>
            </a:graphic>
          </wp:inline>
        </w:drawing>
      </w:r>
    </w:p>
    <w:p w:rsidR="000E7451" w:rsidRPr="00081B7D" w:rsidRDefault="000E7451" w:rsidP="000E7451">
      <w:r w:rsidRPr="00081B7D">
        <w:rPr>
          <w:noProof/>
          <w:lang w:eastAsia="fr-FR"/>
        </w:rPr>
        <w:drawing>
          <wp:inline distT="0" distB="0" distL="0" distR="0">
            <wp:extent cx="5104154" cy="2091628"/>
            <wp:effectExtent l="0" t="0" r="0" b="0"/>
            <wp:docPr id="61"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05655" cy="2092243"/>
                    </a:xfrm>
                    <a:prstGeom prst="rect">
                      <a:avLst/>
                    </a:prstGeom>
                    <a:noFill/>
                  </pic:spPr>
                </pic:pic>
              </a:graphicData>
            </a:graphic>
          </wp:inline>
        </w:drawing>
      </w:r>
    </w:p>
    <w:p w:rsidR="000E7451" w:rsidRPr="00081B7D" w:rsidRDefault="000E7451" w:rsidP="000E7451"/>
    <w:p w:rsidR="007D6C7C" w:rsidRDefault="000E7451" w:rsidP="000E7451">
      <w:pPr>
        <w:pStyle w:val="Heading2"/>
      </w:pPr>
      <w:bookmarkStart w:id="18" w:name="_Toc494147791"/>
      <w:r w:rsidRPr="00081B7D">
        <w:t>Le Prêt Emprunt</w:t>
      </w:r>
      <w:bookmarkEnd w:id="18"/>
    </w:p>
    <w:p w:rsidR="000E7451" w:rsidRDefault="000E7451" w:rsidP="000E7451">
      <w:pPr>
        <w:pStyle w:val="Standard"/>
      </w:pPr>
      <w:r>
        <w:t>Un prêt/emprunt de titres est un contrat par lequel un prêteur transfère temporairement une quantité donnée d'un titre donné à un emprunteur, contre l'engagement par ce dernier de restituer les titres soit à une date prédéfinie, soit à la demande du prêteur, et le versement d'une rémunération basée sur la valeur des titres prêtés.</w:t>
      </w:r>
    </w:p>
    <w:p w:rsidR="000E7451" w:rsidRDefault="000E7451" w:rsidP="000E7451">
      <w:pPr>
        <w:pStyle w:val="Standard"/>
      </w:pPr>
      <w:r>
        <w:t>Afin de se protéger contre le risque de contrepartie (en l'occurrence le risque de non restitution des titres prêtés), le prêteur demande généralement également le versement d'une garantie ou « collatéral », soit en titres, soit en espèces. Le montant de cette garantie est assujetti à la valeur de marché des titres prêtés par des appels de marge périodiques pendant la vie du contrat.</w:t>
      </w:r>
    </w:p>
    <w:p w:rsidR="000E7451" w:rsidRDefault="000E7451" w:rsidP="000E7451">
      <w:pPr>
        <w:pStyle w:val="Standard"/>
      </w:pPr>
      <w:r>
        <w:t xml:space="preserve">En cas de versement d'une garantie espèces, le prêteur rémunère le cash déposé par l'emprunteur. Dans ce cas, le profit généré par l'opération pour </w:t>
      </w:r>
      <w:r>
        <w:lastRenderedPageBreak/>
        <w:t>le prêteur provient également du différentiel entre le taux qu'il verse à son emprunteur et le taux auquel il peut réinvestir le collatéral reçu.</w:t>
      </w:r>
    </w:p>
    <w:p w:rsidR="000E7451" w:rsidRDefault="000E7451" w:rsidP="000E7451">
      <w:pPr>
        <w:pStyle w:val="Standard"/>
      </w:pPr>
      <w:r>
        <w:t>Il est important de noter que juridiquement il y a bien transfert de propriété pendant la durée du contrat, du prêteur vers l'emprunteur pour ce qui est des titres prêtés, et en sens inverse pour ce qui est du collatéral versé.</w:t>
      </w:r>
    </w:p>
    <w:p w:rsidR="000E7451" w:rsidRDefault="000E7451" w:rsidP="000E7451">
      <w:pPr>
        <w:pStyle w:val="Standard"/>
      </w:pPr>
      <w:r>
        <w:t>De ce fait, l'emprunteur perçoit les revenus (dividendes et coupons) générés par la détention des titres pendant la durée du contrat. De même il participe à toute OST (Opération Sur Titres) qui se produit pendant qu'il détient les titres. Toutefois, les termes du contrat prévoient généralement un partage des revenus et des droits liés à la détention des titres entre le prêteur et l'emprunteur, ce dernier se trouvant alors dans l'obligation de restituer à sa contrepartie tout ou partie des revenus perçus.</w:t>
      </w:r>
    </w:p>
    <w:p w:rsidR="000E7451" w:rsidRDefault="000E7451" w:rsidP="000E7451">
      <w:pPr>
        <w:pStyle w:val="Standard"/>
      </w:pPr>
      <w:r>
        <w:t xml:space="preserve">De ce fait également, l'emprunteur des titres a tout à fait le droit de </w:t>
      </w:r>
      <w:proofErr w:type="spellStart"/>
      <w:r>
        <w:t>re</w:t>
      </w:r>
      <w:proofErr w:type="spellEnd"/>
      <w:r>
        <w:t>-prêter voire revendre les titres empruntés. Sa seule obligation est d'être capable d'en restituer la même quantité (et le versement de la rémunération) à son prêteur au terme du contrat.</w:t>
      </w:r>
    </w:p>
    <w:p w:rsidR="000E7451" w:rsidRDefault="000E7451" w:rsidP="000E7451">
      <w:pPr>
        <w:pStyle w:val="Standard"/>
      </w:pPr>
      <w:r>
        <w:t xml:space="preserve">En </w:t>
      </w:r>
      <w:proofErr w:type="gramStart"/>
      <w:r>
        <w:t>terme</w:t>
      </w:r>
      <w:proofErr w:type="gramEnd"/>
      <w:r>
        <w:t xml:space="preserve"> de risque, le fait que l'emprunteur a l'obligation de rendre la même quantité de titres, mais non la valeur initiale des titres prêtés, signifie également que le propriétaire initial des titres continue de supporter le risque de marché lié à ces titres, même lorsque ceux-ci sont prêtés.</w:t>
      </w:r>
    </w:p>
    <w:p w:rsidR="000E7451" w:rsidRDefault="000E7451" w:rsidP="000E7451">
      <w:pPr>
        <w:pStyle w:val="Standard"/>
      </w:pPr>
    </w:p>
    <w:p w:rsidR="000E7451" w:rsidRDefault="000E7451" w:rsidP="000E7451">
      <w:pPr>
        <w:pStyle w:val="Heading2"/>
      </w:pPr>
      <w:r>
        <w:t xml:space="preserve"> </w:t>
      </w:r>
      <w:bookmarkStart w:id="19" w:name="_Toc494147792"/>
      <w:r>
        <w:t>Les chambres de compensation et agents triparti</w:t>
      </w:r>
      <w:bookmarkEnd w:id="19"/>
    </w:p>
    <w:p w:rsidR="007D6C7C" w:rsidRDefault="007D6C7C" w:rsidP="007D6C7C">
      <w:pPr>
        <w:pStyle w:val="Standard"/>
      </w:pPr>
      <w:r>
        <w:t xml:space="preserve">La figure suivante montre la simplification d’un schéma complexe d’échange entre les différentes contreparties.  </w:t>
      </w:r>
    </w:p>
    <w:p w:rsidR="007D6C7C" w:rsidRPr="007D6C7C" w:rsidRDefault="007D6C7C" w:rsidP="007D6C7C">
      <w:pPr>
        <w:pStyle w:val="Standard"/>
      </w:pPr>
      <w:r w:rsidRPr="007D6C7C">
        <w:t>Le rôle de la chambre de compensation est de garantir le règlement-livraison des transactions.</w:t>
      </w:r>
    </w:p>
    <w:p w:rsidR="007D6C7C" w:rsidRPr="007D6C7C" w:rsidRDefault="007D6C7C" w:rsidP="007D6C7C">
      <w:pPr>
        <w:pStyle w:val="Standard"/>
      </w:pPr>
      <w:r w:rsidRPr="007D6C7C">
        <w:t xml:space="preserve">Le processus de compensation (clearing, en anglais) désigne toutes les activités survenant entre l’engagement de la transaction et la livraison </w:t>
      </w:r>
      <w:r w:rsidRPr="007D6C7C">
        <w:lastRenderedPageBreak/>
        <w:t>effective. On dit communément que la chambre de compensation est l’acheteur de tous les vendeurs et le vendeur de tous les acheteurs.</w:t>
      </w:r>
    </w:p>
    <w:p w:rsidR="007D6C7C" w:rsidRPr="007D6C7C" w:rsidRDefault="007D6C7C" w:rsidP="007D6C7C">
      <w:pPr>
        <w:pStyle w:val="Standard"/>
      </w:pPr>
      <w:r w:rsidRPr="007D6C7C">
        <w:t>Une chambre de compensation assure :</w:t>
      </w:r>
    </w:p>
    <w:p w:rsidR="007D6C7C" w:rsidRPr="007D6C7C" w:rsidRDefault="007D6C7C" w:rsidP="00DD586D">
      <w:pPr>
        <w:pStyle w:val="Standard"/>
        <w:numPr>
          <w:ilvl w:val="0"/>
          <w:numId w:val="7"/>
        </w:numPr>
        <w:rPr>
          <w:lang w:eastAsia="fr-FR"/>
        </w:rPr>
      </w:pPr>
      <w:r w:rsidRPr="007D6C7C">
        <w:rPr>
          <w:lang w:eastAsia="fr-FR"/>
        </w:rPr>
        <w:t>la gestion des transactions</w:t>
      </w:r>
    </w:p>
    <w:p w:rsidR="007D6C7C" w:rsidRPr="007D6C7C" w:rsidRDefault="007D6C7C" w:rsidP="00DD586D">
      <w:pPr>
        <w:pStyle w:val="Standard"/>
        <w:numPr>
          <w:ilvl w:val="0"/>
          <w:numId w:val="7"/>
        </w:numPr>
        <w:rPr>
          <w:lang w:eastAsia="fr-FR"/>
        </w:rPr>
      </w:pPr>
      <w:r w:rsidRPr="007D6C7C">
        <w:rPr>
          <w:lang w:eastAsia="fr-FR"/>
        </w:rPr>
        <w:t>la correspondance entre les positions débitrices et créditrices des différents intervenants</w:t>
      </w:r>
    </w:p>
    <w:p w:rsidR="007D6C7C" w:rsidRPr="007D6C7C" w:rsidRDefault="007D6C7C" w:rsidP="00DD586D">
      <w:pPr>
        <w:pStyle w:val="Standard"/>
        <w:numPr>
          <w:ilvl w:val="0"/>
          <w:numId w:val="7"/>
        </w:numPr>
        <w:rPr>
          <w:lang w:eastAsia="fr-FR"/>
        </w:rPr>
      </w:pPr>
      <w:r w:rsidRPr="007D6C7C">
        <w:rPr>
          <w:lang w:eastAsia="fr-FR"/>
        </w:rPr>
        <w:t>la compensation des soldes</w:t>
      </w:r>
    </w:p>
    <w:p w:rsidR="007D6C7C" w:rsidRPr="007D6C7C" w:rsidRDefault="007D6C7C" w:rsidP="00DD586D">
      <w:pPr>
        <w:pStyle w:val="Standard"/>
        <w:numPr>
          <w:ilvl w:val="0"/>
          <w:numId w:val="7"/>
        </w:numPr>
        <w:rPr>
          <w:lang w:eastAsia="fr-FR"/>
        </w:rPr>
      </w:pPr>
      <w:r w:rsidRPr="007D6C7C">
        <w:rPr>
          <w:lang w:eastAsia="fr-FR"/>
        </w:rPr>
        <w:t>les appels de marges</w:t>
      </w:r>
    </w:p>
    <w:p w:rsidR="007D6C7C" w:rsidRPr="007D6C7C" w:rsidRDefault="007D6C7C" w:rsidP="00DD586D">
      <w:pPr>
        <w:pStyle w:val="Standard"/>
        <w:numPr>
          <w:ilvl w:val="0"/>
          <w:numId w:val="7"/>
        </w:numPr>
        <w:rPr>
          <w:lang w:eastAsia="fr-FR"/>
        </w:rPr>
      </w:pPr>
      <w:r w:rsidRPr="007D6C7C">
        <w:rPr>
          <w:lang w:eastAsia="fr-FR"/>
        </w:rPr>
        <w:t>la suspension temporaire des opérations en cas de fluctuations trop importantes des cours</w:t>
      </w:r>
    </w:p>
    <w:p w:rsidR="007D6C7C" w:rsidRDefault="000E7451" w:rsidP="007D6C7C">
      <w:pPr>
        <w:pStyle w:val="NormalWeb"/>
        <w:keepNext/>
        <w:jc w:val="center"/>
      </w:pPr>
      <w:r>
        <w:rPr>
          <w:rFonts w:asciiTheme="majorHAnsi" w:hAnsiTheme="majorHAnsi"/>
          <w:noProof/>
          <w:sz w:val="28"/>
        </w:rPr>
        <w:drawing>
          <wp:inline distT="0" distB="0" distL="0" distR="0">
            <wp:extent cx="3781425" cy="3859225"/>
            <wp:effectExtent l="19050" t="0" r="0" b="0"/>
            <wp:docPr id="3072"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1" cstate="print"/>
                    <a:srcRect/>
                    <a:stretch>
                      <a:fillRect/>
                    </a:stretch>
                  </pic:blipFill>
                  <pic:spPr bwMode="auto">
                    <a:xfrm>
                      <a:off x="0" y="0"/>
                      <a:ext cx="3781389" cy="3859189"/>
                    </a:xfrm>
                    <a:prstGeom prst="rect">
                      <a:avLst/>
                    </a:prstGeom>
                    <a:noFill/>
                    <a:ln w="9525">
                      <a:noFill/>
                      <a:miter lim="800000"/>
                      <a:headEnd/>
                      <a:tailEnd/>
                    </a:ln>
                  </pic:spPr>
                </pic:pic>
              </a:graphicData>
            </a:graphic>
          </wp:inline>
        </w:drawing>
      </w:r>
    </w:p>
    <w:p w:rsidR="000E7451" w:rsidRDefault="007D6C7C" w:rsidP="007D6C7C">
      <w:pPr>
        <w:pStyle w:val="Caption"/>
        <w:jc w:val="center"/>
        <w:rPr>
          <w:color w:val="auto"/>
        </w:rPr>
      </w:pPr>
      <w:bookmarkStart w:id="20" w:name="_Toc494147815"/>
      <w:r w:rsidRPr="007D6C7C">
        <w:rPr>
          <w:color w:val="auto"/>
        </w:rPr>
        <w:t xml:space="preserve">Figure </w:t>
      </w:r>
      <w:r w:rsidR="007E2F79" w:rsidRPr="007D6C7C">
        <w:rPr>
          <w:color w:val="auto"/>
        </w:rPr>
        <w:fldChar w:fldCharType="begin"/>
      </w:r>
      <w:r w:rsidRPr="007D6C7C">
        <w:rPr>
          <w:color w:val="auto"/>
        </w:rPr>
        <w:instrText xml:space="preserve"> SEQ Figure \* ARABIC </w:instrText>
      </w:r>
      <w:r w:rsidR="007E2F79" w:rsidRPr="007D6C7C">
        <w:rPr>
          <w:color w:val="auto"/>
        </w:rPr>
        <w:fldChar w:fldCharType="separate"/>
      </w:r>
      <w:r w:rsidRPr="007D6C7C">
        <w:rPr>
          <w:noProof/>
          <w:color w:val="auto"/>
        </w:rPr>
        <w:t>5</w:t>
      </w:r>
      <w:r w:rsidR="007E2F79" w:rsidRPr="007D6C7C">
        <w:rPr>
          <w:color w:val="auto"/>
        </w:rPr>
        <w:fldChar w:fldCharType="end"/>
      </w:r>
      <w:r w:rsidRPr="007D6C7C">
        <w:rPr>
          <w:color w:val="auto"/>
        </w:rPr>
        <w:t xml:space="preserve"> </w:t>
      </w:r>
      <w:proofErr w:type="spellStart"/>
      <w:r w:rsidRPr="007D6C7C">
        <w:rPr>
          <w:color w:val="auto"/>
        </w:rPr>
        <w:t>Shéma</w:t>
      </w:r>
      <w:proofErr w:type="spellEnd"/>
      <w:r w:rsidRPr="007D6C7C">
        <w:rPr>
          <w:color w:val="auto"/>
        </w:rPr>
        <w:t xml:space="preserve"> du </w:t>
      </w:r>
      <w:proofErr w:type="spellStart"/>
      <w:r w:rsidRPr="007D6C7C">
        <w:rPr>
          <w:color w:val="auto"/>
        </w:rPr>
        <w:t>résau</w:t>
      </w:r>
      <w:proofErr w:type="spellEnd"/>
      <w:r w:rsidRPr="007D6C7C">
        <w:rPr>
          <w:color w:val="auto"/>
        </w:rPr>
        <w:t xml:space="preserve"> avec chambre de compensation</w:t>
      </w:r>
      <w:bookmarkEnd w:id="20"/>
    </w:p>
    <w:p w:rsidR="000E7451" w:rsidRPr="00081B7D" w:rsidRDefault="000E7451" w:rsidP="000E7451">
      <w:pPr>
        <w:pStyle w:val="Standard"/>
      </w:pPr>
    </w:p>
    <w:p w:rsidR="000E7451" w:rsidRPr="00081B7D" w:rsidRDefault="000E7451" w:rsidP="007D6C7C">
      <w:pPr>
        <w:pStyle w:val="Standard"/>
        <w:ind w:firstLine="0"/>
      </w:pPr>
    </w:p>
    <w:p w:rsidR="000E7451" w:rsidRPr="00081B7D" w:rsidRDefault="000E7451" w:rsidP="00DD586D">
      <w:pPr>
        <w:ind w:left="0"/>
      </w:pPr>
    </w:p>
    <w:p w:rsidR="000E7451" w:rsidRPr="00081B7D" w:rsidRDefault="000E7451" w:rsidP="000E7451">
      <w:pPr>
        <w:pStyle w:val="Heading2"/>
      </w:pPr>
      <w:bookmarkStart w:id="21" w:name="_Toc494147793"/>
      <w:r w:rsidRPr="00081B7D">
        <w:lastRenderedPageBreak/>
        <w:t>Le Risque de Contrepartie</w:t>
      </w:r>
      <w:bookmarkEnd w:id="21"/>
    </w:p>
    <w:p w:rsidR="00D27EA4" w:rsidRDefault="007D6C7C" w:rsidP="007D6C7C">
      <w:pPr>
        <w:pStyle w:val="Standard"/>
      </w:pPr>
      <w:r w:rsidRPr="007D6C7C">
        <w:t xml:space="preserve">Garantir une transaction au moyen de collatéral revient d’une certaine manière à transformer un risque de crédit en un risque juridique et opérationnel. </w:t>
      </w:r>
    </w:p>
    <w:p w:rsidR="00D27EA4" w:rsidRDefault="007D6C7C" w:rsidP="007D6C7C">
      <w:pPr>
        <w:pStyle w:val="Standard"/>
      </w:pPr>
      <w:r w:rsidRPr="007D6C7C">
        <w:t xml:space="preserve">En effet, les accords de </w:t>
      </w:r>
      <w:proofErr w:type="spellStart"/>
      <w:r w:rsidRPr="007D6C7C">
        <w:t>collatéralisation</w:t>
      </w:r>
      <w:proofErr w:type="spellEnd"/>
      <w:r w:rsidRPr="007D6C7C">
        <w:t xml:space="preserve"> ne sont efficaces que si l’on peut les faire valoir devant la justice. La question de la vente effective des titres et la capacité du détenteur du collatéral à le prouver en cas de litige sont donc des éléments essentiels qui contiennent un risque juridique. </w:t>
      </w:r>
    </w:p>
    <w:p w:rsidR="00D27EA4" w:rsidRDefault="007D6C7C" w:rsidP="007D6C7C">
      <w:pPr>
        <w:pStyle w:val="Standard"/>
      </w:pPr>
      <w:r w:rsidRPr="007D6C7C">
        <w:t xml:space="preserve">De même, le receveur de collatéral doit être sûr que les titres lui ont bien été livrés, qu’ils sont bien valorisés, que les appels de marge éventuels ont été menés, etc. </w:t>
      </w:r>
    </w:p>
    <w:p w:rsidR="007D6C7C" w:rsidRPr="007D6C7C" w:rsidRDefault="007D6C7C" w:rsidP="007D6C7C">
      <w:pPr>
        <w:pStyle w:val="Standard"/>
        <w:rPr>
          <w:szCs w:val="20"/>
        </w:rPr>
      </w:pPr>
      <w:r w:rsidRPr="007D6C7C">
        <w:t>Ces contraintes portent un risque opérationnel. Le collatéral expose également à un risque de liquidité, celui des titres mis en garantie. En revanche, il ne présente pas de risque de marché, à partir du moment où les processus d’appel de marge, c’est-à-dire les réévaluations du collatéral nécessaires pour couvrir une position, sont bien maîtrisés.</w:t>
      </w:r>
    </w:p>
    <w:p w:rsidR="000E7451" w:rsidRPr="00081B7D" w:rsidRDefault="000E7451" w:rsidP="000E7451"/>
    <w:p w:rsidR="000E7451" w:rsidRDefault="000E7451" w:rsidP="000E7451">
      <w:pPr>
        <w:jc w:val="center"/>
      </w:pPr>
      <w:r w:rsidRPr="00081B7D">
        <w:rPr>
          <w:noProof/>
          <w:lang w:eastAsia="fr-FR"/>
        </w:rPr>
        <w:drawing>
          <wp:inline distT="0" distB="0" distL="0" distR="0">
            <wp:extent cx="3554544" cy="2135838"/>
            <wp:effectExtent l="0" t="0" r="8255" b="0"/>
            <wp:docPr id="62"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60329" cy="2139314"/>
                    </a:xfrm>
                    <a:prstGeom prst="rect">
                      <a:avLst/>
                    </a:prstGeom>
                    <a:noFill/>
                  </pic:spPr>
                </pic:pic>
              </a:graphicData>
            </a:graphic>
          </wp:inline>
        </w:drawing>
      </w:r>
    </w:p>
    <w:p w:rsidR="000E7451" w:rsidRDefault="000E7451" w:rsidP="000E7451">
      <w:pPr>
        <w:jc w:val="center"/>
      </w:pPr>
    </w:p>
    <w:p w:rsidR="007D6C7C" w:rsidRDefault="000E7451" w:rsidP="007D6C7C">
      <w:pPr>
        <w:jc w:val="center"/>
      </w:pPr>
      <w:bookmarkStart w:id="22" w:name="_GoBack"/>
      <w:r w:rsidRPr="000E7451">
        <w:rPr>
          <w:noProof/>
          <w:lang w:eastAsia="fr-FR"/>
        </w:rPr>
        <w:lastRenderedPageBreak/>
        <w:drawing>
          <wp:inline distT="0" distB="0" distL="0" distR="0">
            <wp:extent cx="4705350" cy="2268948"/>
            <wp:effectExtent l="0" t="0" r="0" b="0"/>
            <wp:docPr id="64"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810" b="14714"/>
                    <a:stretch/>
                  </pic:blipFill>
                  <pic:spPr bwMode="auto">
                    <a:xfrm>
                      <a:off x="0" y="0"/>
                      <a:ext cx="4711643" cy="2271982"/>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bookmarkEnd w:id="22"/>
    </w:p>
    <w:p w:rsidR="000E7451" w:rsidRDefault="00D27EA4" w:rsidP="007D6C7C">
      <w:pPr>
        <w:pStyle w:val="Heading3"/>
      </w:pPr>
      <w:bookmarkStart w:id="23" w:name="_Toc494147794"/>
      <w:proofErr w:type="spellStart"/>
      <w:r>
        <w:t>Mise</w:t>
      </w:r>
      <w:proofErr w:type="spellEnd"/>
      <w:r>
        <w:t xml:space="preserve"> en situation</w:t>
      </w:r>
      <w:bookmarkEnd w:id="23"/>
    </w:p>
    <w:p w:rsidR="007D6C7C" w:rsidRPr="00D27EA4" w:rsidRDefault="007D6C7C" w:rsidP="007D6C7C">
      <w:r w:rsidRPr="00D27EA4">
        <w:t>Nous éme</w:t>
      </w:r>
      <w:r w:rsidR="00D27EA4" w:rsidRPr="00D27EA4">
        <w:t>ttons les hypothèses</w:t>
      </w:r>
      <w:r w:rsidR="00D27EA4">
        <w:t xml:space="preserve"> </w:t>
      </w:r>
      <w:r w:rsidR="00D27EA4" w:rsidRPr="00D27EA4">
        <w:t>s</w:t>
      </w:r>
      <w:r w:rsidR="00D27EA4">
        <w:t>uivantes pour pouvoir établir le modèle par la suite</w:t>
      </w:r>
    </w:p>
    <w:p w:rsidR="007D6C7C" w:rsidRPr="00DD586D" w:rsidRDefault="007D6C7C" w:rsidP="008B6BE7">
      <w:pPr>
        <w:pStyle w:val="ListParagraph"/>
        <w:numPr>
          <w:ilvl w:val="0"/>
          <w:numId w:val="5"/>
        </w:numPr>
        <w:rPr>
          <w:rFonts w:asciiTheme="majorHAnsi" w:hAnsiTheme="majorHAnsi"/>
          <w:sz w:val="28"/>
        </w:rPr>
      </w:pPr>
      <w:r w:rsidRPr="00DD586D">
        <w:rPr>
          <w:rFonts w:asciiTheme="majorHAnsi" w:hAnsiTheme="majorHAnsi"/>
          <w:sz w:val="28"/>
        </w:rPr>
        <w:t>La SG est preneuse de collatéral</w:t>
      </w:r>
    </w:p>
    <w:p w:rsidR="007D6C7C" w:rsidRPr="00DD586D" w:rsidRDefault="007D6C7C" w:rsidP="008B6BE7">
      <w:pPr>
        <w:pStyle w:val="ListParagraph"/>
        <w:numPr>
          <w:ilvl w:val="0"/>
          <w:numId w:val="5"/>
        </w:numPr>
        <w:rPr>
          <w:rFonts w:asciiTheme="majorHAnsi" w:hAnsiTheme="majorHAnsi"/>
          <w:sz w:val="28"/>
        </w:rPr>
      </w:pPr>
      <w:r w:rsidRPr="00DD586D">
        <w:rPr>
          <w:rFonts w:asciiTheme="majorHAnsi" w:hAnsiTheme="majorHAnsi"/>
          <w:sz w:val="28"/>
        </w:rPr>
        <w:t>La contrepartie vend pour du cash un actif sous jacent au contrat</w:t>
      </w:r>
    </w:p>
    <w:p w:rsidR="007D6C7C" w:rsidRPr="00DD586D" w:rsidRDefault="007D6C7C" w:rsidP="008B6BE7">
      <w:pPr>
        <w:pStyle w:val="ListParagraph"/>
        <w:numPr>
          <w:ilvl w:val="0"/>
          <w:numId w:val="5"/>
        </w:numPr>
        <w:rPr>
          <w:rFonts w:asciiTheme="majorHAnsi" w:hAnsiTheme="majorHAnsi"/>
          <w:sz w:val="28"/>
        </w:rPr>
      </w:pPr>
      <w:r w:rsidRPr="00DD586D">
        <w:rPr>
          <w:rFonts w:asciiTheme="majorHAnsi" w:hAnsiTheme="majorHAnsi"/>
          <w:sz w:val="28"/>
        </w:rPr>
        <w:t xml:space="preserve">Pas d’intérêt sur le cash </w:t>
      </w:r>
      <w:proofErr w:type="spellStart"/>
      <w:r w:rsidRPr="00DD586D">
        <w:rPr>
          <w:rFonts w:asciiTheme="majorHAnsi" w:hAnsiTheme="majorHAnsi"/>
          <w:sz w:val="28"/>
        </w:rPr>
        <w:t>empreinté</w:t>
      </w:r>
      <w:proofErr w:type="spellEnd"/>
      <w:r w:rsidRPr="00DD586D">
        <w:rPr>
          <w:rFonts w:asciiTheme="majorHAnsi" w:hAnsiTheme="majorHAnsi"/>
          <w:sz w:val="28"/>
        </w:rPr>
        <w:t xml:space="preserve"> </w:t>
      </w:r>
    </w:p>
    <w:p w:rsidR="007D6C7C" w:rsidRPr="00DD586D" w:rsidRDefault="007D6C7C" w:rsidP="008B6BE7">
      <w:pPr>
        <w:pStyle w:val="ListParagraph"/>
        <w:numPr>
          <w:ilvl w:val="0"/>
          <w:numId w:val="5"/>
        </w:numPr>
        <w:rPr>
          <w:rFonts w:asciiTheme="majorHAnsi" w:hAnsiTheme="majorHAnsi"/>
          <w:sz w:val="28"/>
        </w:rPr>
      </w:pPr>
      <w:r w:rsidRPr="00DD586D">
        <w:rPr>
          <w:rFonts w:asciiTheme="majorHAnsi" w:hAnsiTheme="majorHAnsi"/>
          <w:sz w:val="28"/>
        </w:rPr>
        <w:t xml:space="preserve">La SG demande </w:t>
      </w:r>
      <w:r w:rsidRPr="00DD586D">
        <w:rPr>
          <w:rFonts w:asciiTheme="majorHAnsi" w:hAnsiTheme="majorHAnsi"/>
          <w:b/>
          <w:bCs/>
          <w:sz w:val="28"/>
          <w:lang w:val="en-US"/>
        </w:rPr>
        <w:t>α</w:t>
      </w:r>
      <w:r w:rsidRPr="00DD586D">
        <w:rPr>
          <w:rFonts w:asciiTheme="majorHAnsi" w:hAnsiTheme="majorHAnsi"/>
          <w:b/>
          <w:bCs/>
          <w:sz w:val="28"/>
          <w:vertAlign w:val="subscript"/>
        </w:rPr>
        <w:t>t</w:t>
      </w:r>
      <w:r w:rsidRPr="00DD586D">
        <w:rPr>
          <w:rFonts w:asciiTheme="majorHAnsi" w:hAnsiTheme="majorHAnsi"/>
          <w:b/>
          <w:bCs/>
          <w:sz w:val="28"/>
        </w:rPr>
        <w:t xml:space="preserve"> </w:t>
      </w:r>
      <w:r w:rsidRPr="00DD586D">
        <w:rPr>
          <w:rFonts w:asciiTheme="majorHAnsi" w:hAnsiTheme="majorHAnsi"/>
          <w:sz w:val="28"/>
        </w:rPr>
        <w:t xml:space="preserve">unités d’une obligation </w:t>
      </w:r>
      <w:proofErr w:type="spellStart"/>
      <w:r w:rsidRPr="00DD586D">
        <w:rPr>
          <w:rFonts w:asciiTheme="majorHAnsi" w:hAnsiTheme="majorHAnsi"/>
          <w:sz w:val="28"/>
        </w:rPr>
        <w:t>zero</w:t>
      </w:r>
      <w:proofErr w:type="spellEnd"/>
      <w:r w:rsidRPr="00DD586D">
        <w:rPr>
          <w:rFonts w:asciiTheme="majorHAnsi" w:hAnsiTheme="majorHAnsi"/>
          <w:sz w:val="28"/>
        </w:rPr>
        <w:t xml:space="preserve"> coupon </w:t>
      </w:r>
      <w:r w:rsidRPr="00DD586D">
        <w:rPr>
          <w:rFonts w:asciiTheme="majorHAnsi" w:hAnsiTheme="majorHAnsi"/>
          <w:b/>
          <w:bCs/>
          <w:sz w:val="28"/>
        </w:rPr>
        <w:t xml:space="preserve">B(t, T) </w:t>
      </w:r>
      <w:r w:rsidRPr="00DD586D">
        <w:rPr>
          <w:rFonts w:asciiTheme="majorHAnsi" w:hAnsiTheme="majorHAnsi"/>
          <w:sz w:val="28"/>
        </w:rPr>
        <w:t xml:space="preserve">comme collatéral </w:t>
      </w:r>
    </w:p>
    <w:p w:rsidR="007D6C7C" w:rsidRPr="00DD586D" w:rsidRDefault="007D6C7C" w:rsidP="008B6BE7">
      <w:pPr>
        <w:pStyle w:val="ListParagraph"/>
        <w:numPr>
          <w:ilvl w:val="0"/>
          <w:numId w:val="5"/>
        </w:numPr>
        <w:rPr>
          <w:rFonts w:asciiTheme="majorHAnsi" w:hAnsiTheme="majorHAnsi"/>
          <w:sz w:val="28"/>
        </w:rPr>
      </w:pPr>
      <w:r w:rsidRPr="00DD586D">
        <w:rPr>
          <w:rFonts w:asciiTheme="majorHAnsi" w:hAnsiTheme="majorHAnsi"/>
          <w:sz w:val="28"/>
        </w:rPr>
        <w:t xml:space="preserve">Le collatéral expire (Maturité </w:t>
      </w:r>
      <w:r w:rsidRPr="00DD586D">
        <w:rPr>
          <w:rFonts w:asciiTheme="majorHAnsi" w:hAnsiTheme="majorHAnsi"/>
          <w:b/>
          <w:bCs/>
          <w:sz w:val="28"/>
        </w:rPr>
        <w:t>T</w:t>
      </w:r>
      <w:r w:rsidRPr="00DD586D">
        <w:rPr>
          <w:rFonts w:asciiTheme="majorHAnsi" w:hAnsiTheme="majorHAnsi"/>
          <w:sz w:val="28"/>
        </w:rPr>
        <w:t>) bien plus tard que le contrat Repo</w:t>
      </w:r>
    </w:p>
    <w:p w:rsidR="007D6C7C" w:rsidRPr="00DD586D" w:rsidRDefault="007D6C7C" w:rsidP="008B6BE7">
      <w:pPr>
        <w:pStyle w:val="ListParagraph"/>
        <w:numPr>
          <w:ilvl w:val="0"/>
          <w:numId w:val="5"/>
        </w:numPr>
        <w:rPr>
          <w:rFonts w:asciiTheme="majorHAnsi" w:hAnsiTheme="majorHAnsi"/>
          <w:sz w:val="28"/>
        </w:rPr>
      </w:pPr>
      <w:r w:rsidRPr="00DD586D">
        <w:rPr>
          <w:rFonts w:asciiTheme="majorHAnsi" w:hAnsiTheme="majorHAnsi"/>
          <w:sz w:val="28"/>
        </w:rPr>
        <w:t xml:space="preserve">Pour chaque collatéral on associe un </w:t>
      </w:r>
      <w:proofErr w:type="spellStart"/>
      <w:r w:rsidRPr="00DD586D">
        <w:rPr>
          <w:rFonts w:asciiTheme="majorHAnsi" w:hAnsiTheme="majorHAnsi"/>
          <w:sz w:val="28"/>
        </w:rPr>
        <w:t>Haircut</w:t>
      </w:r>
      <w:proofErr w:type="spellEnd"/>
      <w:r w:rsidRPr="00DD586D">
        <w:rPr>
          <w:rFonts w:asciiTheme="majorHAnsi" w:hAnsiTheme="majorHAnsi"/>
          <w:sz w:val="28"/>
        </w:rPr>
        <w:t xml:space="preserve"> </w:t>
      </w:r>
      <w:r w:rsidRPr="00DD586D">
        <w:rPr>
          <w:rFonts w:asciiTheme="majorHAnsi" w:hAnsiTheme="majorHAnsi"/>
          <w:b/>
          <w:bCs/>
          <w:sz w:val="28"/>
        </w:rPr>
        <w:t>h</w:t>
      </w:r>
    </w:p>
    <w:p w:rsidR="007D6C7C" w:rsidRPr="00DD586D" w:rsidRDefault="007D6C7C" w:rsidP="008B6BE7">
      <w:pPr>
        <w:pStyle w:val="ListParagraph"/>
        <w:numPr>
          <w:ilvl w:val="0"/>
          <w:numId w:val="5"/>
        </w:numPr>
        <w:rPr>
          <w:rFonts w:asciiTheme="majorHAnsi" w:hAnsiTheme="majorHAnsi"/>
          <w:sz w:val="28"/>
        </w:rPr>
      </w:pPr>
      <w:r w:rsidRPr="00DD586D">
        <w:rPr>
          <w:rFonts w:asciiTheme="majorHAnsi" w:hAnsiTheme="majorHAnsi"/>
          <w:sz w:val="28"/>
        </w:rPr>
        <w:t xml:space="preserve">Le contrat est sur </w:t>
      </w:r>
      <w:r w:rsidRPr="00DD586D">
        <w:rPr>
          <w:rFonts w:asciiTheme="majorHAnsi" w:hAnsiTheme="majorHAnsi"/>
          <w:b/>
          <w:bCs/>
          <w:sz w:val="28"/>
        </w:rPr>
        <w:t>K</w:t>
      </w:r>
      <w:r w:rsidRPr="00DD586D">
        <w:rPr>
          <w:rFonts w:asciiTheme="majorHAnsi" w:hAnsiTheme="majorHAnsi"/>
          <w:sz w:val="28"/>
        </w:rPr>
        <w:t xml:space="preserve"> périodes </w:t>
      </w:r>
    </w:p>
    <w:p w:rsidR="007D6C7C" w:rsidRPr="00DD586D" w:rsidRDefault="007D6C7C" w:rsidP="008B6BE7">
      <w:pPr>
        <w:pStyle w:val="ListParagraph"/>
        <w:numPr>
          <w:ilvl w:val="0"/>
          <w:numId w:val="5"/>
        </w:numPr>
        <w:rPr>
          <w:rFonts w:asciiTheme="majorHAnsi" w:hAnsiTheme="majorHAnsi"/>
          <w:sz w:val="28"/>
        </w:rPr>
      </w:pPr>
      <w:proofErr w:type="spellStart"/>
      <w:r w:rsidRPr="00DD586D">
        <w:rPr>
          <w:rFonts w:asciiTheme="majorHAnsi" w:hAnsiTheme="majorHAnsi"/>
          <w:sz w:val="28"/>
          <w:lang w:val="en-US"/>
        </w:rPr>
        <w:t>Seuil</w:t>
      </w:r>
      <w:proofErr w:type="spellEnd"/>
      <w:r w:rsidRPr="00DD586D">
        <w:rPr>
          <w:rFonts w:asciiTheme="majorHAnsi" w:hAnsiTheme="majorHAnsi"/>
          <w:sz w:val="28"/>
          <w:lang w:val="en-US"/>
        </w:rPr>
        <w:t xml:space="preserve"> de </w:t>
      </w:r>
      <w:proofErr w:type="spellStart"/>
      <w:r w:rsidRPr="00DD586D">
        <w:rPr>
          <w:rFonts w:asciiTheme="majorHAnsi" w:hAnsiTheme="majorHAnsi"/>
          <w:sz w:val="28"/>
          <w:lang w:val="en-US"/>
        </w:rPr>
        <w:t>déclenchement</w:t>
      </w:r>
      <w:proofErr w:type="spellEnd"/>
      <w:r w:rsidRPr="00DD586D">
        <w:rPr>
          <w:rFonts w:asciiTheme="majorHAnsi" w:hAnsiTheme="majorHAnsi"/>
          <w:sz w:val="28"/>
          <w:lang w:val="en-US"/>
        </w:rPr>
        <w:t xml:space="preserve"> constant = 0</w:t>
      </w:r>
    </w:p>
    <w:p w:rsidR="007D6C7C" w:rsidRPr="00DD586D" w:rsidRDefault="007D6C7C" w:rsidP="008B6BE7">
      <w:pPr>
        <w:pStyle w:val="ListParagraph"/>
        <w:numPr>
          <w:ilvl w:val="0"/>
          <w:numId w:val="5"/>
        </w:numPr>
        <w:rPr>
          <w:rFonts w:asciiTheme="majorHAnsi" w:hAnsiTheme="majorHAnsi"/>
          <w:sz w:val="28"/>
        </w:rPr>
      </w:pPr>
      <w:r w:rsidRPr="00DD586D">
        <w:rPr>
          <w:rFonts w:asciiTheme="majorHAnsi" w:hAnsiTheme="majorHAnsi"/>
          <w:sz w:val="28"/>
        </w:rPr>
        <w:t xml:space="preserve">Valeur du contrat au début de chaque période k  est notée </w:t>
      </w:r>
      <w:r w:rsidRPr="00DD586D">
        <w:rPr>
          <w:rFonts w:asciiTheme="majorHAnsi" w:hAnsiTheme="majorHAnsi"/>
          <w:b/>
          <w:bCs/>
          <w:i/>
          <w:iCs/>
          <w:sz w:val="28"/>
        </w:rPr>
        <w:t>U0</w:t>
      </w:r>
    </w:p>
    <w:p w:rsidR="000E7451" w:rsidRDefault="000E7451" w:rsidP="000E7451">
      <w:pPr>
        <w:pStyle w:val="Heading3"/>
      </w:pPr>
      <w:bookmarkStart w:id="24" w:name="_Toc494147795"/>
      <w:proofErr w:type="spellStart"/>
      <w:r w:rsidRPr="00081B7D">
        <w:t>Modèle</w:t>
      </w:r>
      <w:proofErr w:type="spellEnd"/>
      <w:r w:rsidRPr="00081B7D">
        <w:t xml:space="preserve"> du </w:t>
      </w:r>
      <w:r w:rsidR="00D27EA4">
        <w:t>collateral</w:t>
      </w:r>
      <w:bookmarkEnd w:id="24"/>
    </w:p>
    <w:p w:rsidR="00D27EA4" w:rsidRDefault="00D27EA4" w:rsidP="00D27EA4">
      <w:pPr>
        <w:pStyle w:val="Standard"/>
      </w:pPr>
      <w:r w:rsidRPr="00D27EA4">
        <w:t>Nous sommes face à l</w:t>
      </w:r>
      <w:r>
        <w:t xml:space="preserve">a situation suivante, quand nous faisons part de notre exposition quotidienne à la contrepartie : </w:t>
      </w:r>
    </w:p>
    <w:p w:rsidR="00D27EA4" w:rsidRPr="00D27EA4" w:rsidRDefault="00D27EA4" w:rsidP="00D27EA4">
      <w:pPr>
        <w:pStyle w:val="Standard"/>
      </w:pPr>
      <w:r>
        <w:t>Soit l’exposition est en faveur de la contrepartie, soit l’exposition est en notre faveur, et la contrepartie nous donne le collatéral, soit elle est en notre faveur et la contrepartie fait défaut. C’est à cette troisième situation que nous nous intéressons de plus près, pour évaluer e risque encouru</w:t>
      </w:r>
    </w:p>
    <w:p w:rsidR="000E7451" w:rsidRPr="00081B7D" w:rsidRDefault="000E7451" w:rsidP="00D27EA4">
      <w:pPr>
        <w:ind w:left="0"/>
        <w:jc w:val="center"/>
      </w:pPr>
      <w:r w:rsidRPr="00081B7D">
        <w:rPr>
          <w:noProof/>
          <w:lang w:eastAsia="fr-FR"/>
        </w:rPr>
        <w:lastRenderedPageBreak/>
        <w:drawing>
          <wp:inline distT="0" distB="0" distL="0" distR="0">
            <wp:extent cx="5878828" cy="2019300"/>
            <wp:effectExtent l="19050" t="0" r="7622" b="0"/>
            <wp:docPr id="65"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885000" cy="2021420"/>
                    </a:xfrm>
                    <a:prstGeom prst="rect">
                      <a:avLst/>
                    </a:prstGeom>
                    <a:noFill/>
                  </pic:spPr>
                </pic:pic>
              </a:graphicData>
            </a:graphic>
          </wp:inline>
        </w:drawing>
      </w:r>
    </w:p>
    <w:p w:rsidR="00D27EA4" w:rsidRPr="00D27EA4" w:rsidRDefault="00C75E62" w:rsidP="00C75E62">
      <w:pPr>
        <w:pStyle w:val="Standard"/>
      </w:pPr>
      <w:r>
        <w:rPr>
          <w:noProof/>
          <w:lang w:eastAsia="fr-FR"/>
        </w:rPr>
        <w:drawing>
          <wp:anchor distT="0" distB="0" distL="114300" distR="114300" simplePos="0" relativeHeight="251664384" behindDoc="0" locked="0" layoutInCell="1" allowOverlap="1">
            <wp:simplePos x="0" y="0"/>
            <wp:positionH relativeFrom="column">
              <wp:posOffset>2224405</wp:posOffset>
            </wp:positionH>
            <wp:positionV relativeFrom="paragraph">
              <wp:posOffset>662305</wp:posOffset>
            </wp:positionV>
            <wp:extent cx="361950" cy="419100"/>
            <wp:effectExtent l="19050" t="0" r="0" b="0"/>
            <wp:wrapNone/>
            <wp:docPr id="3079"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5" cstate="print">
                      <a:lum contrast="40000"/>
                    </a:blip>
                    <a:srcRect l="35211"/>
                    <a:stretch>
                      <a:fillRect/>
                    </a:stretch>
                  </pic:blipFill>
                  <pic:spPr bwMode="auto">
                    <a:xfrm>
                      <a:off x="0" y="0"/>
                      <a:ext cx="361950" cy="419100"/>
                    </a:xfrm>
                    <a:prstGeom prst="rect">
                      <a:avLst/>
                    </a:prstGeom>
                    <a:noFill/>
                    <a:ln w="9525">
                      <a:noFill/>
                      <a:miter lim="800000"/>
                      <a:headEnd/>
                      <a:tailEnd/>
                    </a:ln>
                  </pic:spPr>
                </pic:pic>
              </a:graphicData>
            </a:graphic>
          </wp:anchor>
        </w:drawing>
      </w:r>
      <w:r w:rsidR="00D27EA4">
        <w:t>On s’intéresse donc à l’évènement probabiliste suivant : La contrepartie</w:t>
      </w:r>
      <w:r w:rsidR="00D27EA4" w:rsidRPr="00D27EA4">
        <w:t xml:space="preserve"> fait défaut et on est prêt à perdre à un taux</w:t>
      </w:r>
      <w:r w:rsidR="00D27EA4">
        <w:t xml:space="preserve"> </w:t>
      </w:r>
      <w:r w:rsidR="00D27EA4" w:rsidRPr="00D27EA4">
        <w:t xml:space="preserve"> </w:t>
      </w:r>
      <w:r w:rsidR="00D27EA4" w:rsidRPr="00D27EA4">
        <w:rPr>
          <w:rFonts w:ascii="Brush Script MT" w:hAnsi="Brush Script MT"/>
          <w:bCs/>
          <w:iCs/>
          <w:sz w:val="36"/>
        </w:rPr>
        <w:t>l</w:t>
      </w:r>
    </w:p>
    <w:p w:rsidR="000E7451" w:rsidRPr="00C75E62" w:rsidRDefault="00D27EA4" w:rsidP="00C75E62">
      <w:pPr>
        <w:pStyle w:val="Standard"/>
      </w:pPr>
      <w:r>
        <w:t>Avec</w:t>
      </w:r>
      <w:r w:rsidR="00C75E62">
        <w:t xml:space="preserve"> quelle probabilité  </w:t>
      </w:r>
      <w:r w:rsidR="00C75E62" w:rsidRPr="00D27EA4">
        <w:rPr>
          <w:rFonts w:ascii="Brush Script MT" w:hAnsi="Brush Script MT"/>
          <w:bCs/>
          <w:iCs/>
          <w:sz w:val="36"/>
        </w:rPr>
        <w:t>l</w:t>
      </w:r>
      <w:r w:rsidR="00C75E62" w:rsidRPr="00C75E62">
        <w:rPr>
          <w:rFonts w:ascii="Calibri" w:eastAsia="+mn-ea" w:hAnsi="Calibri" w:cs="+mn-cs"/>
          <w:kern w:val="24"/>
          <w:sz w:val="36"/>
          <w:szCs w:val="36"/>
        </w:rPr>
        <w:tab/>
        <w:t xml:space="preserve">     </w:t>
      </w:r>
      <w:r w:rsidR="00C75E62">
        <w:rPr>
          <w:rFonts w:ascii="Calibri" w:eastAsia="+mn-ea" w:hAnsi="Calibri" w:cs="+mn-cs"/>
          <w:kern w:val="24"/>
          <w:sz w:val="36"/>
          <w:szCs w:val="36"/>
        </w:rPr>
        <w:t xml:space="preserve">  </w:t>
      </w:r>
      <w:r w:rsidR="00C75E62" w:rsidRPr="00C75E62">
        <w:rPr>
          <w:rFonts w:eastAsia="+mn-ea" w:cs="+mn-cs"/>
          <w:kern w:val="24"/>
          <w:sz w:val="36"/>
          <w:szCs w:val="36"/>
        </w:rPr>
        <w:t>?</w:t>
      </w:r>
    </w:p>
    <w:p w:rsidR="000E7451" w:rsidRPr="00081B7D" w:rsidRDefault="00C75E62" w:rsidP="00D27EA4">
      <w:pPr>
        <w:ind w:left="0"/>
        <w:jc w:val="center"/>
      </w:pPr>
      <w:r w:rsidRPr="00C75E62">
        <w:rPr>
          <w:noProof/>
          <w:lang w:eastAsia="fr-FR"/>
        </w:rPr>
        <w:drawing>
          <wp:inline distT="0" distB="0" distL="0" distR="0">
            <wp:extent cx="3676650" cy="304800"/>
            <wp:effectExtent l="19050" t="0" r="0" b="0"/>
            <wp:docPr id="3077" name="Object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230907" cy="348840"/>
                      <a:chOff x="3956012" y="2717090"/>
                      <a:chExt cx="4230907" cy="348840"/>
                    </a:xfrm>
                  </a:grpSpPr>
                  <a:pic>
                    <a:nvPicPr>
                      <a:cNvPr id="35842" name="Picture 2"/>
                      <a:cNvPicPr>
                        <a:picLocks noChangeAspect="1" noChangeArrowheads="1"/>
                      </a:cNvPicPr>
                    </a:nvPicPr>
                    <a:blipFill>
                      <a:blip r:embed="rId36" cstate="print"/>
                      <a:srcRect b="12215"/>
                      <a:stretch>
                        <a:fillRect/>
                      </a:stretch>
                    </a:blipFill>
                    <a:spPr bwMode="auto">
                      <a:xfrm>
                        <a:off x="3956012" y="2717090"/>
                        <a:ext cx="4230907" cy="348840"/>
                      </a:xfrm>
                      <a:prstGeom prst="rect">
                        <a:avLst/>
                      </a:prstGeom>
                      <a:noFill/>
                      <a:ln w="9525">
                        <a:noFill/>
                        <a:miter lim="800000"/>
                        <a:headEnd/>
                        <a:tailEnd/>
                      </a:ln>
                    </a:spPr>
                  </a:pic>
                  <a:sp>
                    <a:nvSpPr>
                      <a:cNvPr id="25" name="Rectangle 24"/>
                      <a:cNvSpPr/>
                    </a:nvSpPr>
                    <a:spPr>
                      <a:xfrm>
                        <a:off x="5023821" y="2753958"/>
                        <a:ext cx="441064" cy="258183"/>
                      </a:xfrm>
                      <a:prstGeom prst="rect">
                        <a:avLst/>
                      </a:prstGeom>
                      <a:solidFill>
                        <a:schemeClr val="bg1"/>
                      </a:solidFill>
                      <a:ln>
                        <a:solidFill>
                          <a:schemeClr val="bg1"/>
                        </a:solidFill>
                      </a:ln>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fr-FR" b="1" dirty="0" smtClean="0">
                              <a:solidFill>
                                <a:schemeClr val="tx1">
                                  <a:lumMod val="75000"/>
                                  <a:lumOff val="25000"/>
                                </a:schemeClr>
                              </a:solidFill>
                              <a:latin typeface="Times New Roman" pitchFamily="18" charset="0"/>
                              <a:cs typeface="Times New Roman" pitchFamily="18" charset="0"/>
                              <a:sym typeface="Wingdings" pitchFamily="2" charset="2"/>
                            </a:rPr>
                            <a:t></a:t>
                          </a:r>
                          <a:endParaRPr lang="fr-FR" b="1" dirty="0">
                            <a:solidFill>
                              <a:schemeClr val="tx1">
                                <a:lumMod val="75000"/>
                                <a:lumOff val="25000"/>
                              </a:schemeClr>
                            </a:solidFill>
                            <a:latin typeface="Times New Roman" pitchFamily="18" charset="0"/>
                            <a:cs typeface="Times New Roman" pitchFamily="18" charset="0"/>
                          </a:endParaRP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0E7451" w:rsidRDefault="00D27EA4" w:rsidP="00C75E62">
      <w:pPr>
        <w:pStyle w:val="Standard"/>
        <w:rPr>
          <w:vertAlign w:val="subscript"/>
        </w:rPr>
      </w:pPr>
      <w:r>
        <w:t xml:space="preserve">On </w:t>
      </w:r>
      <w:r w:rsidR="00C75E62">
        <w:t xml:space="preserve">cherche donc le </w:t>
      </w:r>
      <w:proofErr w:type="spellStart"/>
      <w:r w:rsidR="00C75E62">
        <w:t>haircut</w:t>
      </w:r>
      <w:proofErr w:type="spellEnd"/>
      <w:r w:rsidR="00C75E62">
        <w:t xml:space="preserve"> pour ne pas dépasser </w:t>
      </w:r>
      <w:r w:rsidR="00C75E62" w:rsidRPr="00D27EA4">
        <w:rPr>
          <w:rFonts w:ascii="Brush Script MT" w:hAnsi="Brush Script MT"/>
          <w:bCs/>
          <w:iCs/>
          <w:sz w:val="36"/>
        </w:rPr>
        <w:t>l</w:t>
      </w:r>
      <w:r>
        <w:t xml:space="preserve"> </w:t>
      </w:r>
      <w:r w:rsidR="00C75E62">
        <w:t>U</w:t>
      </w:r>
      <w:r w:rsidR="00C75E62">
        <w:rPr>
          <w:vertAlign w:val="subscript"/>
        </w:rPr>
        <w:t>0</w:t>
      </w:r>
    </w:p>
    <w:p w:rsidR="00C75E62" w:rsidRDefault="00C75E62" w:rsidP="00C75E62">
      <w:pPr>
        <w:pStyle w:val="Standard"/>
        <w:rPr>
          <w:vertAlign w:val="subscript"/>
        </w:rPr>
      </w:pPr>
    </w:p>
    <w:p w:rsidR="00C75E62" w:rsidRPr="00C75E62" w:rsidRDefault="00C75E62" w:rsidP="00C75E62">
      <w:pPr>
        <w:pStyle w:val="Standard"/>
      </w:pPr>
      <w:r w:rsidRPr="00C75E62">
        <w:t>D’un autre côté, essayon</w:t>
      </w:r>
      <w:r>
        <w:t>s de modéliser le prix de l’obligation a</w:t>
      </w:r>
      <w:r w:rsidR="008C1E65">
        <w:t xml:space="preserve">vec un taux d’intérêt de </w:t>
      </w:r>
      <w:proofErr w:type="spellStart"/>
      <w:r w:rsidR="008C1E65">
        <w:t>Vasice</w:t>
      </w:r>
      <w:r>
        <w:t>k</w:t>
      </w:r>
      <w:proofErr w:type="spellEnd"/>
      <w:r>
        <w:t>.</w:t>
      </w:r>
    </w:p>
    <w:p w:rsidR="00C75E62" w:rsidRPr="00C75E62" w:rsidRDefault="00C75E62" w:rsidP="00C75E62">
      <w:pPr>
        <w:pStyle w:val="Standard"/>
      </w:pPr>
      <w:r>
        <w:t>On sait que le taux d’intérêt suit le processus de retour à la moyenne suivant :</w:t>
      </w:r>
    </w:p>
    <w:p w:rsidR="000E7451" w:rsidRPr="00081B7D" w:rsidRDefault="000E7451" w:rsidP="000E7451">
      <w:pPr>
        <w:ind w:left="426"/>
        <w:jc w:val="center"/>
      </w:pPr>
      <w:r w:rsidRPr="00081B7D">
        <w:rPr>
          <w:noProof/>
          <w:lang w:eastAsia="fr-FR"/>
        </w:rPr>
        <w:drawing>
          <wp:inline distT="0" distB="0" distL="0" distR="0">
            <wp:extent cx="4400550" cy="1028700"/>
            <wp:effectExtent l="0" t="0" r="0" b="0"/>
            <wp:docPr id="68"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7042"/>
                    <a:stretch>
                      <a:fillRect/>
                    </a:stretch>
                  </pic:blipFill>
                  <pic:spPr bwMode="auto">
                    <a:xfrm>
                      <a:off x="0" y="0"/>
                      <a:ext cx="4400550" cy="1028700"/>
                    </a:xfrm>
                    <a:prstGeom prst="rect">
                      <a:avLst/>
                    </a:prstGeom>
                    <a:noFill/>
                  </pic:spPr>
                </pic:pic>
              </a:graphicData>
            </a:graphic>
          </wp:inline>
        </w:drawing>
      </w:r>
    </w:p>
    <w:p w:rsidR="00C75E62" w:rsidRDefault="00C75E62" w:rsidP="00C75E62">
      <w:pPr>
        <w:pStyle w:val="Standard"/>
      </w:pPr>
      <w:r>
        <w:t>Puis</w:t>
      </w:r>
    </w:p>
    <w:p w:rsidR="000E7451" w:rsidRDefault="000E7451" w:rsidP="000E7451">
      <w:pPr>
        <w:ind w:left="0"/>
        <w:jc w:val="center"/>
      </w:pPr>
      <w:r w:rsidRPr="00081B7D">
        <w:rPr>
          <w:noProof/>
          <w:lang w:eastAsia="fr-FR"/>
        </w:rPr>
        <w:drawing>
          <wp:inline distT="0" distB="0" distL="0" distR="0">
            <wp:extent cx="4157980" cy="621665"/>
            <wp:effectExtent l="0" t="0" r="0" b="6985"/>
            <wp:docPr id="69"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57980" cy="621665"/>
                    </a:xfrm>
                    <a:prstGeom prst="rect">
                      <a:avLst/>
                    </a:prstGeom>
                    <a:noFill/>
                  </pic:spPr>
                </pic:pic>
              </a:graphicData>
            </a:graphic>
          </wp:inline>
        </w:drawing>
      </w:r>
    </w:p>
    <w:p w:rsidR="00C75E62" w:rsidRPr="00081B7D" w:rsidRDefault="00C75E62" w:rsidP="00C75E62">
      <w:pPr>
        <w:pStyle w:val="Standard"/>
      </w:pPr>
      <w:r>
        <w:t>Ce modèle p</w:t>
      </w:r>
      <w:r w:rsidRPr="00C75E62">
        <w:t>rend en compte les taux d’intérêts négatifs</w:t>
      </w:r>
      <w:r>
        <w:t>.</w:t>
      </w:r>
    </w:p>
    <w:p w:rsidR="000E7451" w:rsidRPr="00081B7D" w:rsidRDefault="000E7451" w:rsidP="000E7451">
      <w:pPr>
        <w:ind w:left="0"/>
        <w:jc w:val="center"/>
      </w:pPr>
      <w:r w:rsidRPr="00081B7D">
        <w:rPr>
          <w:noProof/>
          <w:lang w:eastAsia="fr-FR"/>
        </w:rPr>
        <w:lastRenderedPageBreak/>
        <w:drawing>
          <wp:inline distT="0" distB="0" distL="0" distR="0">
            <wp:extent cx="3568893" cy="2531110"/>
            <wp:effectExtent l="19050" t="0" r="0" b="0"/>
            <wp:docPr id="7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9" cstate="print"/>
                    <a:srcRect r="1100" b="2309"/>
                    <a:stretch>
                      <a:fillRect/>
                    </a:stretch>
                  </pic:blipFill>
                  <pic:spPr bwMode="auto">
                    <a:xfrm>
                      <a:off x="0" y="0"/>
                      <a:ext cx="3563312" cy="2527152"/>
                    </a:xfrm>
                    <a:prstGeom prst="rect">
                      <a:avLst/>
                    </a:prstGeom>
                    <a:ln>
                      <a:noFill/>
                    </a:ln>
                    <a:effectLst/>
                  </pic:spPr>
                </pic:pic>
              </a:graphicData>
            </a:graphic>
          </wp:inline>
        </w:drawing>
      </w:r>
    </w:p>
    <w:p w:rsidR="000E7451" w:rsidRPr="00081B7D" w:rsidRDefault="00C75E62" w:rsidP="004530B1">
      <w:pPr>
        <w:pStyle w:val="Standard"/>
      </w:pPr>
      <w:r>
        <w:t>La valeur de</w:t>
      </w:r>
      <w:r w:rsidR="000E7451" w:rsidRPr="00081B7D">
        <w:t xml:space="preserve"> l’obligation dans le Modèle du taux d’i</w:t>
      </w:r>
      <w:r w:rsidR="008C1E65">
        <w:t xml:space="preserve">ntérêt de </w:t>
      </w:r>
      <w:proofErr w:type="spellStart"/>
      <w:r w:rsidR="008C1E65">
        <w:t>Vasice</w:t>
      </w:r>
      <w:r w:rsidR="000E7451" w:rsidRPr="00081B7D">
        <w:t>k</w:t>
      </w:r>
      <w:proofErr w:type="spellEnd"/>
      <w:r w:rsidR="000E7451" w:rsidRPr="00081B7D">
        <w:t xml:space="preserve"> </w:t>
      </w:r>
      <w:r w:rsidR="004530B1">
        <w:t>s’écrit donc :</w:t>
      </w:r>
    </w:p>
    <w:p w:rsidR="000E7451" w:rsidRDefault="000E7451" w:rsidP="000E7451">
      <w:pPr>
        <w:ind w:left="0"/>
        <w:jc w:val="center"/>
      </w:pPr>
      <w:r w:rsidRPr="00081B7D">
        <w:rPr>
          <w:noProof/>
          <w:lang w:eastAsia="fr-FR"/>
        </w:rPr>
        <w:drawing>
          <wp:inline distT="0" distB="0" distL="0" distR="0">
            <wp:extent cx="1692022" cy="402862"/>
            <wp:effectExtent l="19050" t="0" r="3428" b="0"/>
            <wp:docPr id="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0" name="Picture 4"/>
                    <pic:cNvPicPr>
                      <a:picLocks noChangeAspect="1" noChangeArrowheads="1"/>
                    </pic:cNvPicPr>
                  </pic:nvPicPr>
                  <pic:blipFill>
                    <a:blip r:embed="rId40" cstate="print"/>
                    <a:srcRect/>
                    <a:stretch>
                      <a:fillRect/>
                    </a:stretch>
                  </pic:blipFill>
                  <pic:spPr bwMode="auto">
                    <a:xfrm>
                      <a:off x="0" y="0"/>
                      <a:ext cx="1692591" cy="402998"/>
                    </a:xfrm>
                    <a:prstGeom prst="rect">
                      <a:avLst/>
                    </a:prstGeom>
                    <a:noFill/>
                    <a:ln w="9525">
                      <a:noFill/>
                      <a:miter lim="800000"/>
                      <a:headEnd/>
                      <a:tailEnd/>
                    </a:ln>
                  </pic:spPr>
                </pic:pic>
              </a:graphicData>
            </a:graphic>
          </wp:inline>
        </w:drawing>
      </w:r>
    </w:p>
    <w:p w:rsidR="004530B1" w:rsidRPr="00081B7D" w:rsidRDefault="004530B1" w:rsidP="004530B1">
      <w:pPr>
        <w:pStyle w:val="Standard"/>
      </w:pPr>
      <w:proofErr w:type="gramStart"/>
      <w:r>
        <w:t>avec</w:t>
      </w:r>
      <w:proofErr w:type="gramEnd"/>
    </w:p>
    <w:p w:rsidR="000E7451" w:rsidRDefault="000E7451" w:rsidP="000E7451">
      <w:pPr>
        <w:ind w:left="0"/>
        <w:jc w:val="center"/>
      </w:pPr>
      <w:r w:rsidRPr="00081B7D">
        <w:rPr>
          <w:noProof/>
          <w:lang w:eastAsia="fr-FR"/>
        </w:rPr>
        <w:drawing>
          <wp:inline distT="0" distB="0" distL="0" distR="0">
            <wp:extent cx="2743199" cy="953192"/>
            <wp:effectExtent l="0" t="0" r="635" b="0"/>
            <wp:docPr id="7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3" name="Picture 7"/>
                    <pic:cNvPicPr>
                      <a:picLocks noChangeAspect="1" noChangeArrowheads="1"/>
                    </pic:cNvPicPr>
                  </pic:nvPicPr>
                  <pic:blipFill>
                    <a:blip r:embed="rId41" cstate="print"/>
                    <a:srcRect l="5595" r="3680"/>
                    <a:stretch>
                      <a:fillRect/>
                    </a:stretch>
                  </pic:blipFill>
                  <pic:spPr bwMode="auto">
                    <a:xfrm>
                      <a:off x="0" y="0"/>
                      <a:ext cx="2743199" cy="953192"/>
                    </a:xfrm>
                    <a:prstGeom prst="rect">
                      <a:avLst/>
                    </a:prstGeom>
                    <a:noFill/>
                    <a:ln w="9525">
                      <a:noFill/>
                      <a:miter lim="800000"/>
                      <a:headEnd/>
                      <a:tailEnd/>
                    </a:ln>
                    <a:effectLst/>
                  </pic:spPr>
                </pic:pic>
              </a:graphicData>
            </a:graphic>
          </wp:inline>
        </w:drawing>
      </w:r>
    </w:p>
    <w:p w:rsidR="004530B1" w:rsidRPr="00081B7D" w:rsidRDefault="004530B1" w:rsidP="004530B1">
      <w:pPr>
        <w:pStyle w:val="Standard"/>
      </w:pPr>
      <w:r>
        <w:t>Puis on écrit :</w:t>
      </w:r>
    </w:p>
    <w:p w:rsidR="000E7451" w:rsidRDefault="000E7451" w:rsidP="000E7451">
      <w:pPr>
        <w:ind w:left="0"/>
        <w:jc w:val="center"/>
      </w:pPr>
      <w:r w:rsidRPr="00081B7D">
        <w:rPr>
          <w:noProof/>
          <w:lang w:eastAsia="fr-FR"/>
        </w:rPr>
        <w:drawing>
          <wp:inline distT="0" distB="0" distL="0" distR="0">
            <wp:extent cx="4695825" cy="581025"/>
            <wp:effectExtent l="0" t="0" r="9525" b="9525"/>
            <wp:docPr id="8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2" name="Picture 6"/>
                    <pic:cNvPicPr>
                      <a:picLocks noChangeAspect="1" noChangeArrowheads="1"/>
                    </pic:cNvPicPr>
                  </pic:nvPicPr>
                  <pic:blipFill>
                    <a:blip r:embed="rId42" cstate="print"/>
                    <a:srcRect/>
                    <a:stretch>
                      <a:fillRect/>
                    </a:stretch>
                  </pic:blipFill>
                  <pic:spPr bwMode="auto">
                    <a:xfrm>
                      <a:off x="0" y="0"/>
                      <a:ext cx="4695825" cy="581025"/>
                    </a:xfrm>
                    <a:prstGeom prst="rect">
                      <a:avLst/>
                    </a:prstGeom>
                    <a:noFill/>
                    <a:ln w="9525">
                      <a:noFill/>
                      <a:miter lim="800000"/>
                      <a:headEnd/>
                      <a:tailEnd/>
                    </a:ln>
                  </pic:spPr>
                </pic:pic>
              </a:graphicData>
            </a:graphic>
          </wp:inline>
        </w:drawing>
      </w:r>
    </w:p>
    <w:p w:rsidR="004530B1" w:rsidRPr="00081B7D" w:rsidRDefault="004530B1" w:rsidP="004530B1">
      <w:pPr>
        <w:pStyle w:val="Standard"/>
      </w:pPr>
      <w:r>
        <w:t>Qui suit la loi normale suivante :</w:t>
      </w:r>
    </w:p>
    <w:p w:rsidR="000E7451" w:rsidRDefault="000E7451" w:rsidP="000E7451">
      <w:pPr>
        <w:ind w:left="0"/>
        <w:jc w:val="center"/>
      </w:pPr>
      <w:r w:rsidRPr="00081B7D">
        <w:rPr>
          <w:noProof/>
          <w:lang w:eastAsia="fr-FR"/>
        </w:rPr>
        <w:drawing>
          <wp:inline distT="0" distB="0" distL="0" distR="0">
            <wp:extent cx="4240799" cy="513790"/>
            <wp:effectExtent l="0" t="0" r="7620" b="635"/>
            <wp:docPr id="9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64" name="Picture 8"/>
                    <pic:cNvPicPr>
                      <a:picLocks noChangeAspect="1" noChangeArrowheads="1"/>
                    </pic:cNvPicPr>
                  </pic:nvPicPr>
                  <pic:blipFill>
                    <a:blip r:embed="rId43" cstate="print"/>
                    <a:srcRect l="-959" t="-7882"/>
                    <a:stretch>
                      <a:fillRect/>
                    </a:stretch>
                  </pic:blipFill>
                  <pic:spPr bwMode="auto">
                    <a:xfrm>
                      <a:off x="0" y="0"/>
                      <a:ext cx="4240799" cy="513790"/>
                    </a:xfrm>
                    <a:prstGeom prst="rect">
                      <a:avLst/>
                    </a:prstGeom>
                    <a:noFill/>
                    <a:ln w="9525">
                      <a:noFill/>
                      <a:miter lim="800000"/>
                      <a:headEnd/>
                      <a:tailEnd/>
                    </a:ln>
                  </pic:spPr>
                </pic:pic>
              </a:graphicData>
            </a:graphic>
          </wp:inline>
        </w:drawing>
      </w:r>
    </w:p>
    <w:p w:rsidR="004530B1" w:rsidRPr="00081B7D" w:rsidRDefault="004530B1" w:rsidP="000E7451">
      <w:pPr>
        <w:ind w:left="0"/>
        <w:jc w:val="center"/>
      </w:pPr>
    </w:p>
    <w:p w:rsidR="000E7451" w:rsidRPr="00081B7D" w:rsidRDefault="004530B1" w:rsidP="004530B1">
      <w:pPr>
        <w:pStyle w:val="Standard"/>
      </w:pPr>
      <w:r>
        <w:t>La q</w:t>
      </w:r>
      <w:r w:rsidR="000E7451" w:rsidRPr="00081B7D">
        <w:t xml:space="preserve">uantité de collatéral à restituer </w:t>
      </w:r>
      <w:r w:rsidR="000E7451" w:rsidRPr="004530B1">
        <w:rPr>
          <w:iCs/>
        </w:rPr>
        <w:t>au début</w:t>
      </w:r>
      <w:r w:rsidR="000E7451" w:rsidRPr="00081B7D">
        <w:rPr>
          <w:i/>
          <w:iCs/>
          <w:u w:val="single"/>
        </w:rPr>
        <w:t xml:space="preserve"> </w:t>
      </w:r>
      <w:r w:rsidR="000E7451" w:rsidRPr="00081B7D">
        <w:t>de la période k</w:t>
      </w:r>
      <w:r>
        <w:t xml:space="preserve"> s’écrit donc</w:t>
      </w:r>
    </w:p>
    <w:p w:rsidR="000E7451" w:rsidRPr="00081B7D" w:rsidRDefault="000E7451" w:rsidP="000E7451">
      <w:pPr>
        <w:ind w:left="0"/>
        <w:jc w:val="center"/>
      </w:pPr>
    </w:p>
    <w:p w:rsidR="000E7451" w:rsidRDefault="000E7451" w:rsidP="000E7451">
      <w:pPr>
        <w:ind w:left="0"/>
        <w:jc w:val="center"/>
      </w:pPr>
      <w:r w:rsidRPr="00081B7D">
        <w:rPr>
          <w:noProof/>
          <w:lang w:eastAsia="fr-FR"/>
        </w:rPr>
        <w:lastRenderedPageBreak/>
        <w:drawing>
          <wp:inline distT="0" distB="0" distL="0" distR="0">
            <wp:extent cx="2402991" cy="1149579"/>
            <wp:effectExtent l="19050" t="0" r="0" b="0"/>
            <wp:docPr id="9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44" cstate="print"/>
                    <a:srcRect/>
                    <a:stretch>
                      <a:fillRect/>
                    </a:stretch>
                  </pic:blipFill>
                  <pic:spPr bwMode="auto">
                    <a:xfrm>
                      <a:off x="0" y="0"/>
                      <a:ext cx="2403616" cy="1149878"/>
                    </a:xfrm>
                    <a:prstGeom prst="rect">
                      <a:avLst/>
                    </a:prstGeom>
                    <a:noFill/>
                    <a:ln w="9525">
                      <a:noFill/>
                      <a:miter lim="800000"/>
                      <a:headEnd/>
                      <a:tailEnd/>
                    </a:ln>
                  </pic:spPr>
                </pic:pic>
              </a:graphicData>
            </a:graphic>
          </wp:inline>
        </w:drawing>
      </w:r>
    </w:p>
    <w:p w:rsidR="004530B1" w:rsidRPr="004530B1" w:rsidRDefault="004530B1" w:rsidP="004530B1">
      <w:pPr>
        <w:pStyle w:val="Standard"/>
      </w:pPr>
      <w:r>
        <w:rPr>
          <w:noProof/>
          <w:lang w:eastAsia="fr-FR"/>
        </w:rPr>
        <w:drawing>
          <wp:anchor distT="0" distB="0" distL="114300" distR="114300" simplePos="0" relativeHeight="251668480" behindDoc="0" locked="0" layoutInCell="1" allowOverlap="1">
            <wp:simplePos x="0" y="0"/>
            <wp:positionH relativeFrom="column">
              <wp:posOffset>671830</wp:posOffset>
            </wp:positionH>
            <wp:positionV relativeFrom="paragraph">
              <wp:posOffset>-1270</wp:posOffset>
            </wp:positionV>
            <wp:extent cx="514350" cy="285750"/>
            <wp:effectExtent l="19050" t="0" r="0" b="0"/>
            <wp:wrapNone/>
            <wp:docPr id="3082"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5" cstate="print"/>
                    <a:srcRect/>
                    <a:stretch>
                      <a:fillRect/>
                    </a:stretch>
                  </pic:blipFill>
                  <pic:spPr bwMode="auto">
                    <a:xfrm>
                      <a:off x="0" y="0"/>
                      <a:ext cx="514350" cy="285750"/>
                    </a:xfrm>
                    <a:prstGeom prst="rect">
                      <a:avLst/>
                    </a:prstGeom>
                    <a:noFill/>
                    <a:ln w="9525">
                      <a:noFill/>
                      <a:miter lim="800000"/>
                      <a:headEnd/>
                      <a:tailEnd/>
                    </a:ln>
                  </pic:spPr>
                </pic:pic>
              </a:graphicData>
            </a:graphic>
          </wp:anchor>
        </w:drawing>
      </w:r>
      <w:r>
        <w:t>Avec</w:t>
      </w:r>
      <w:r>
        <w:tab/>
      </w:r>
      <w:r>
        <w:tab/>
        <w:t>La q</w:t>
      </w:r>
      <w:r w:rsidRPr="004530B1">
        <w:t xml:space="preserve">uantité de collatéral requise à la fin de la période k-1 </w:t>
      </w:r>
    </w:p>
    <w:p w:rsidR="004530B1" w:rsidRDefault="004530B1" w:rsidP="000E7451">
      <w:pPr>
        <w:ind w:left="0"/>
        <w:jc w:val="center"/>
      </w:pPr>
    </w:p>
    <w:p w:rsidR="004530B1" w:rsidRPr="00081B7D" w:rsidRDefault="004530B1" w:rsidP="004530B1">
      <w:pPr>
        <w:pStyle w:val="Standard"/>
      </w:pPr>
      <w:r>
        <w:t>La perte à la fin de la période k étant égale à</w:t>
      </w:r>
    </w:p>
    <w:p w:rsidR="000E7451" w:rsidRPr="00081B7D" w:rsidRDefault="000E7451" w:rsidP="000E7451">
      <w:pPr>
        <w:ind w:left="0"/>
        <w:jc w:val="center"/>
      </w:pPr>
      <w:r w:rsidRPr="00081B7D">
        <w:rPr>
          <w:noProof/>
          <w:lang w:eastAsia="fr-FR"/>
        </w:rPr>
        <w:drawing>
          <wp:inline distT="0" distB="0" distL="0" distR="0">
            <wp:extent cx="3733800" cy="561975"/>
            <wp:effectExtent l="0" t="0" r="0" b="9525"/>
            <wp:docPr id="9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2" name="Picture 2"/>
                    <pic:cNvPicPr>
                      <a:picLocks noChangeAspect="1" noChangeArrowheads="1"/>
                    </pic:cNvPicPr>
                  </pic:nvPicPr>
                  <pic:blipFill>
                    <a:blip r:embed="rId46" cstate="print"/>
                    <a:srcRect/>
                    <a:stretch>
                      <a:fillRect/>
                    </a:stretch>
                  </pic:blipFill>
                  <pic:spPr bwMode="auto">
                    <a:xfrm>
                      <a:off x="0" y="0"/>
                      <a:ext cx="3733800" cy="561975"/>
                    </a:xfrm>
                    <a:prstGeom prst="rect">
                      <a:avLst/>
                    </a:prstGeom>
                    <a:noFill/>
                    <a:ln w="9525">
                      <a:noFill/>
                      <a:miter lim="800000"/>
                      <a:headEnd/>
                      <a:tailEnd/>
                    </a:ln>
                  </pic:spPr>
                </pic:pic>
              </a:graphicData>
            </a:graphic>
          </wp:inline>
        </w:drawing>
      </w:r>
    </w:p>
    <w:p w:rsidR="004530B1" w:rsidRPr="00081B7D" w:rsidRDefault="004530B1" w:rsidP="004530B1">
      <w:pPr>
        <w:ind w:left="0"/>
        <w:jc w:val="center"/>
      </w:pPr>
      <w:r>
        <w:rPr>
          <w:noProof/>
          <w:lang w:eastAsia="fr-FR"/>
        </w:rPr>
        <w:drawing>
          <wp:anchor distT="0" distB="0" distL="114300" distR="114300" simplePos="0" relativeHeight="251667456" behindDoc="0" locked="0" layoutInCell="1" allowOverlap="1">
            <wp:simplePos x="0" y="0"/>
            <wp:positionH relativeFrom="column">
              <wp:posOffset>4443730</wp:posOffset>
            </wp:positionH>
            <wp:positionV relativeFrom="paragraph">
              <wp:posOffset>347980</wp:posOffset>
            </wp:positionV>
            <wp:extent cx="699135" cy="257175"/>
            <wp:effectExtent l="19050" t="19050" r="24765" b="28575"/>
            <wp:wrapNone/>
            <wp:docPr id="308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2"/>
                    <pic:cNvPicPr>
                      <a:picLocks noChangeAspect="1" noChangeArrowheads="1"/>
                    </pic:cNvPicPr>
                  </pic:nvPicPr>
                  <pic:blipFill>
                    <a:blip r:embed="rId36" cstate="print"/>
                    <a:srcRect t="-2453" r="76965" b="12215"/>
                    <a:stretch>
                      <a:fillRect/>
                    </a:stretch>
                  </pic:blipFill>
                  <pic:spPr bwMode="auto">
                    <a:xfrm>
                      <a:off x="0" y="0"/>
                      <a:ext cx="699135" cy="257175"/>
                    </a:xfrm>
                    <a:prstGeom prst="rect">
                      <a:avLst/>
                    </a:prstGeom>
                    <a:noFill/>
                    <a:ln w="9525">
                      <a:solidFill>
                        <a:schemeClr val="bg1"/>
                      </a:solidFill>
                      <a:miter lim="800000"/>
                      <a:headEnd/>
                      <a:tailEnd/>
                    </a:ln>
                  </pic:spPr>
                </pic:pic>
              </a:graphicData>
            </a:graphic>
          </wp:anchor>
        </w:drawing>
      </w:r>
      <w:r>
        <w:rPr>
          <w:noProof/>
          <w:lang w:eastAsia="fr-FR"/>
        </w:rPr>
        <w:drawing>
          <wp:anchor distT="0" distB="0" distL="114300" distR="114300" simplePos="0" relativeHeight="251665408" behindDoc="0" locked="0" layoutInCell="1" allowOverlap="1">
            <wp:simplePos x="0" y="0"/>
            <wp:positionH relativeFrom="column">
              <wp:posOffset>3215005</wp:posOffset>
            </wp:positionH>
            <wp:positionV relativeFrom="paragraph">
              <wp:posOffset>347980</wp:posOffset>
            </wp:positionV>
            <wp:extent cx="466725" cy="276225"/>
            <wp:effectExtent l="19050" t="0" r="9525" b="0"/>
            <wp:wrapNone/>
            <wp:docPr id="30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a:blip r:embed="rId47" cstate="print"/>
                    <a:srcRect/>
                    <a:stretch>
                      <a:fillRect/>
                    </a:stretch>
                  </pic:blipFill>
                  <pic:spPr bwMode="auto">
                    <a:xfrm>
                      <a:off x="0" y="0"/>
                      <a:ext cx="466725" cy="276225"/>
                    </a:xfrm>
                    <a:prstGeom prst="rect">
                      <a:avLst/>
                    </a:prstGeom>
                    <a:noFill/>
                    <a:ln w="9525">
                      <a:noFill/>
                      <a:miter lim="800000"/>
                      <a:headEnd/>
                      <a:tailEnd/>
                    </a:ln>
                  </pic:spPr>
                </pic:pic>
              </a:graphicData>
            </a:graphic>
          </wp:anchor>
        </w:drawing>
      </w:r>
      <w:r w:rsidR="000E7451" w:rsidRPr="00081B7D">
        <w:rPr>
          <w:noProof/>
          <w:lang w:eastAsia="fr-FR"/>
        </w:rPr>
        <w:drawing>
          <wp:inline distT="0" distB="0" distL="0" distR="0">
            <wp:extent cx="2197735" cy="229642"/>
            <wp:effectExtent l="19050" t="0" r="0" b="0"/>
            <wp:docPr id="819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48" cstate="print"/>
                    <a:srcRect l="35507" t="21973" r="1140" b="10879"/>
                    <a:stretch>
                      <a:fillRect/>
                    </a:stretch>
                  </pic:blipFill>
                  <pic:spPr bwMode="auto">
                    <a:xfrm>
                      <a:off x="0" y="0"/>
                      <a:ext cx="2198281" cy="229699"/>
                    </a:xfrm>
                    <a:prstGeom prst="rect">
                      <a:avLst/>
                    </a:prstGeom>
                    <a:noFill/>
                    <a:ln w="9525">
                      <a:noFill/>
                      <a:miter lim="800000"/>
                      <a:headEnd/>
                      <a:tailEnd/>
                    </a:ln>
                    <a:effectLst/>
                  </pic:spPr>
                </pic:pic>
              </a:graphicData>
            </a:graphic>
          </wp:inline>
        </w:drawing>
      </w:r>
    </w:p>
    <w:p w:rsidR="000E7451" w:rsidRPr="00081B7D" w:rsidRDefault="004530B1" w:rsidP="004530B1">
      <w:pPr>
        <w:pStyle w:val="Standard"/>
      </w:pPr>
      <w:r>
        <w:t xml:space="preserve">En écrivant la </w:t>
      </w:r>
      <w:r w:rsidR="000E7451" w:rsidRPr="00081B7D">
        <w:t>Probabilité que la perte</w:t>
      </w:r>
      <w:r>
        <w:t xml:space="preserve">       </w:t>
      </w:r>
      <w:r w:rsidR="000E7451" w:rsidRPr="00081B7D">
        <w:t xml:space="preserve">  </w:t>
      </w:r>
      <w:r>
        <w:t xml:space="preserve"> </w:t>
      </w:r>
      <w:r w:rsidR="000E7451" w:rsidRPr="00081B7D">
        <w:t xml:space="preserve">     </w:t>
      </w:r>
      <w:r>
        <w:t xml:space="preserve"> </w:t>
      </w:r>
      <w:r w:rsidR="000E7451" w:rsidRPr="00081B7D">
        <w:t xml:space="preserve">dépasse  </w:t>
      </w:r>
    </w:p>
    <w:p w:rsidR="000E7451" w:rsidRPr="00081B7D" w:rsidRDefault="000E7451" w:rsidP="000E7451">
      <w:pPr>
        <w:ind w:left="0"/>
        <w:jc w:val="center"/>
      </w:pPr>
      <w:r w:rsidRPr="00081B7D">
        <w:rPr>
          <w:noProof/>
          <w:lang w:eastAsia="fr-FR"/>
        </w:rPr>
        <w:drawing>
          <wp:inline distT="0" distB="0" distL="0" distR="0">
            <wp:extent cx="4253138" cy="640257"/>
            <wp:effectExtent l="0" t="0" r="0" b="7620"/>
            <wp:docPr id="819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4" name="Picture 4"/>
                    <pic:cNvPicPr>
                      <a:picLocks noChangeAspect="1" noChangeArrowheads="1"/>
                    </pic:cNvPicPr>
                  </pic:nvPicPr>
                  <pic:blipFill>
                    <a:blip r:embed="rId49" cstate="print"/>
                    <a:srcRect/>
                    <a:stretch>
                      <a:fillRect/>
                    </a:stretch>
                  </pic:blipFill>
                  <pic:spPr bwMode="auto">
                    <a:xfrm>
                      <a:off x="0" y="0"/>
                      <a:ext cx="4253138" cy="640257"/>
                    </a:xfrm>
                    <a:prstGeom prst="rect">
                      <a:avLst/>
                    </a:prstGeom>
                    <a:noFill/>
                    <a:ln w="9525">
                      <a:noFill/>
                      <a:miter lim="800000"/>
                      <a:headEnd/>
                      <a:tailEnd/>
                    </a:ln>
                  </pic:spPr>
                </pic:pic>
              </a:graphicData>
            </a:graphic>
          </wp:inline>
        </w:drawing>
      </w:r>
    </w:p>
    <w:p w:rsidR="000E7451" w:rsidRDefault="004530B1" w:rsidP="004530B1">
      <w:pPr>
        <w:pStyle w:val="Standard"/>
        <w:rPr>
          <w:bCs/>
        </w:rPr>
      </w:pPr>
      <w:r w:rsidRPr="004530B1">
        <w:t>On retrouve la r</w:t>
      </w:r>
      <w:r w:rsidR="000E7451" w:rsidRPr="004530B1">
        <w:t xml:space="preserve">elation entre le niveau de risque, le </w:t>
      </w:r>
      <w:proofErr w:type="spellStart"/>
      <w:r w:rsidR="000E7451" w:rsidRPr="004530B1">
        <w:t>Haircut</w:t>
      </w:r>
      <w:proofErr w:type="spellEnd"/>
      <w:r w:rsidR="000E7451" w:rsidRPr="004530B1">
        <w:t xml:space="preserve"> et la probabilité que la perte dépasse </w:t>
      </w:r>
      <w:r w:rsidR="000E7451" w:rsidRPr="004530B1">
        <w:rPr>
          <w:bCs/>
        </w:rPr>
        <w:t>le niveau l</w:t>
      </w:r>
      <w:r>
        <w:rPr>
          <w:bCs/>
        </w:rPr>
        <w:t>.</w:t>
      </w:r>
    </w:p>
    <w:p w:rsidR="000E7451" w:rsidRPr="00081B7D" w:rsidRDefault="004530B1" w:rsidP="004530B1">
      <w:pPr>
        <w:pStyle w:val="Standard"/>
      </w:pPr>
      <w:r>
        <w:rPr>
          <w:bCs/>
        </w:rPr>
        <w:t>Tel que :</w:t>
      </w:r>
    </w:p>
    <w:p w:rsidR="000E7451" w:rsidRPr="00081B7D" w:rsidRDefault="000E7451" w:rsidP="000E7451">
      <w:pPr>
        <w:ind w:left="0"/>
        <w:jc w:val="center"/>
      </w:pPr>
      <w:r w:rsidRPr="00081B7D">
        <w:rPr>
          <w:noProof/>
          <w:lang w:eastAsia="fr-FR"/>
        </w:rPr>
        <w:drawing>
          <wp:inline distT="0" distB="0" distL="0" distR="0">
            <wp:extent cx="3829050" cy="640268"/>
            <wp:effectExtent l="19050" t="0" r="0" b="0"/>
            <wp:docPr id="820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3"/>
                    <pic:cNvPicPr>
                      <a:picLocks noChangeAspect="1" noChangeArrowheads="1"/>
                    </pic:cNvPicPr>
                  </pic:nvPicPr>
                  <pic:blipFill>
                    <a:blip r:embed="rId50" cstate="print">
                      <a:lum contrast="30000"/>
                    </a:blip>
                    <a:srcRect/>
                    <a:stretch>
                      <a:fillRect/>
                    </a:stretch>
                  </pic:blipFill>
                  <pic:spPr bwMode="auto">
                    <a:xfrm>
                      <a:off x="0" y="0"/>
                      <a:ext cx="3831432" cy="640666"/>
                    </a:xfrm>
                    <a:prstGeom prst="rect">
                      <a:avLst/>
                    </a:prstGeom>
                    <a:noFill/>
                    <a:ln w="9525">
                      <a:noFill/>
                      <a:miter lim="800000"/>
                      <a:headEnd/>
                      <a:tailEnd/>
                    </a:ln>
                    <a:effectLst/>
                  </pic:spPr>
                </pic:pic>
              </a:graphicData>
            </a:graphic>
          </wp:inline>
        </w:drawing>
      </w:r>
    </w:p>
    <w:p w:rsidR="004530B1" w:rsidRDefault="004530B1" w:rsidP="004530B1">
      <w:pPr>
        <w:pStyle w:val="Standard"/>
      </w:pPr>
      <w:r>
        <w:t>Avec </w:t>
      </w:r>
    </w:p>
    <w:p w:rsidR="000E7451" w:rsidRPr="00081B7D" w:rsidRDefault="000E7451" w:rsidP="000E7451">
      <w:pPr>
        <w:ind w:left="0"/>
        <w:jc w:val="center"/>
      </w:pPr>
      <w:r w:rsidRPr="00081B7D">
        <w:rPr>
          <w:noProof/>
          <w:lang w:eastAsia="fr-FR"/>
        </w:rPr>
        <w:drawing>
          <wp:inline distT="0" distB="0" distL="0" distR="0">
            <wp:extent cx="3928602" cy="1600200"/>
            <wp:effectExtent l="19050" t="0" r="0" b="0"/>
            <wp:docPr id="82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51" cstate="print"/>
                    <a:srcRect/>
                    <a:stretch>
                      <a:fillRect/>
                    </a:stretch>
                  </pic:blipFill>
                  <pic:spPr bwMode="auto">
                    <a:xfrm>
                      <a:off x="0" y="0"/>
                      <a:ext cx="3930307" cy="1600894"/>
                    </a:xfrm>
                    <a:prstGeom prst="rect">
                      <a:avLst/>
                    </a:prstGeom>
                    <a:noFill/>
                    <a:ln w="9525">
                      <a:noFill/>
                      <a:miter lim="800000"/>
                      <a:headEnd/>
                      <a:tailEnd/>
                    </a:ln>
                    <a:effectLst/>
                  </pic:spPr>
                </pic:pic>
              </a:graphicData>
            </a:graphic>
          </wp:inline>
        </w:drawing>
      </w:r>
    </w:p>
    <w:p w:rsidR="000E7451" w:rsidRPr="00081B7D" w:rsidRDefault="000E7451" w:rsidP="000E7451">
      <w:pPr>
        <w:ind w:left="0"/>
        <w:jc w:val="center"/>
      </w:pPr>
      <w:r w:rsidRPr="00081B7D">
        <w:rPr>
          <w:noProof/>
          <w:lang w:eastAsia="fr-FR"/>
        </w:rPr>
        <w:lastRenderedPageBreak/>
        <w:drawing>
          <wp:inline distT="0" distB="0" distL="0" distR="0">
            <wp:extent cx="4497497" cy="609600"/>
            <wp:effectExtent l="19050" t="0" r="0" b="0"/>
            <wp:docPr id="820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4" name="Picture 4"/>
                    <pic:cNvPicPr>
                      <a:picLocks noChangeAspect="1" noChangeArrowheads="1"/>
                    </pic:cNvPicPr>
                  </pic:nvPicPr>
                  <pic:blipFill>
                    <a:blip r:embed="rId52" cstate="print"/>
                    <a:srcRect/>
                    <a:stretch>
                      <a:fillRect/>
                    </a:stretch>
                  </pic:blipFill>
                  <pic:spPr bwMode="auto">
                    <a:xfrm>
                      <a:off x="0" y="0"/>
                      <a:ext cx="4525049" cy="613334"/>
                    </a:xfrm>
                    <a:prstGeom prst="rect">
                      <a:avLst/>
                    </a:prstGeom>
                    <a:noFill/>
                    <a:ln w="9525">
                      <a:noFill/>
                      <a:miter lim="800000"/>
                      <a:headEnd/>
                      <a:tailEnd/>
                    </a:ln>
                  </pic:spPr>
                </pic:pic>
              </a:graphicData>
            </a:graphic>
          </wp:inline>
        </w:drawing>
      </w:r>
    </w:p>
    <w:p w:rsidR="000E7451" w:rsidRPr="00081B7D" w:rsidRDefault="000E7451" w:rsidP="000E7451">
      <w:pPr>
        <w:ind w:left="0"/>
        <w:jc w:val="center"/>
      </w:pPr>
      <w:r w:rsidRPr="00081B7D">
        <w:rPr>
          <w:noProof/>
          <w:lang w:eastAsia="fr-FR"/>
        </w:rPr>
        <w:drawing>
          <wp:inline distT="0" distB="0" distL="0" distR="0">
            <wp:extent cx="3114675" cy="732311"/>
            <wp:effectExtent l="19050" t="0" r="0" b="0"/>
            <wp:docPr id="820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5" name="Picture 5"/>
                    <pic:cNvPicPr>
                      <a:picLocks noChangeAspect="1" noChangeArrowheads="1"/>
                    </pic:cNvPicPr>
                  </pic:nvPicPr>
                  <pic:blipFill>
                    <a:blip r:embed="rId53" cstate="print"/>
                    <a:srcRect t="8968"/>
                    <a:stretch>
                      <a:fillRect/>
                    </a:stretch>
                  </pic:blipFill>
                  <pic:spPr bwMode="auto">
                    <a:xfrm>
                      <a:off x="0" y="0"/>
                      <a:ext cx="3117587" cy="732996"/>
                    </a:xfrm>
                    <a:prstGeom prst="rect">
                      <a:avLst/>
                    </a:prstGeom>
                    <a:noFill/>
                    <a:ln w="9525">
                      <a:noFill/>
                      <a:miter lim="800000"/>
                      <a:headEnd/>
                      <a:tailEnd/>
                    </a:ln>
                  </pic:spPr>
                </pic:pic>
              </a:graphicData>
            </a:graphic>
          </wp:inline>
        </w:drawing>
      </w:r>
    </w:p>
    <w:p w:rsidR="000E7451" w:rsidRPr="00081B7D" w:rsidRDefault="000E7451" w:rsidP="000E7451">
      <w:pPr>
        <w:ind w:left="0"/>
        <w:jc w:val="center"/>
      </w:pPr>
      <w:r w:rsidRPr="00081B7D">
        <w:rPr>
          <w:noProof/>
          <w:lang w:eastAsia="fr-FR"/>
        </w:rPr>
        <w:drawing>
          <wp:inline distT="0" distB="0" distL="0" distR="0">
            <wp:extent cx="3400425" cy="601280"/>
            <wp:effectExtent l="19050" t="0" r="9525" b="0"/>
            <wp:docPr id="820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6" name="Picture 6"/>
                    <pic:cNvPicPr>
                      <a:picLocks noChangeAspect="1" noChangeArrowheads="1"/>
                    </pic:cNvPicPr>
                  </pic:nvPicPr>
                  <pic:blipFill>
                    <a:blip r:embed="rId54" cstate="print"/>
                    <a:srcRect r="33821"/>
                    <a:stretch>
                      <a:fillRect/>
                    </a:stretch>
                  </pic:blipFill>
                  <pic:spPr bwMode="auto">
                    <a:xfrm>
                      <a:off x="0" y="0"/>
                      <a:ext cx="3431591" cy="606791"/>
                    </a:xfrm>
                    <a:prstGeom prst="rect">
                      <a:avLst/>
                    </a:prstGeom>
                    <a:noFill/>
                    <a:ln w="9525">
                      <a:noFill/>
                      <a:miter lim="800000"/>
                      <a:headEnd/>
                      <a:tailEnd/>
                    </a:ln>
                  </pic:spPr>
                </pic:pic>
              </a:graphicData>
            </a:graphic>
          </wp:inline>
        </w:drawing>
      </w:r>
    </w:p>
    <w:p w:rsidR="000E7451" w:rsidRPr="00081B7D" w:rsidRDefault="000E7451" w:rsidP="000E7451">
      <w:pPr>
        <w:ind w:left="0"/>
        <w:jc w:val="center"/>
      </w:pPr>
      <w:r w:rsidRPr="00081B7D">
        <w:rPr>
          <w:noProof/>
          <w:lang w:eastAsia="fr-FR"/>
        </w:rPr>
        <w:drawing>
          <wp:inline distT="0" distB="0" distL="0" distR="0">
            <wp:extent cx="1021981" cy="285418"/>
            <wp:effectExtent l="0" t="0" r="6985" b="635"/>
            <wp:docPr id="820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7" name="Picture 7"/>
                    <pic:cNvPicPr>
                      <a:picLocks noChangeAspect="1" noChangeArrowheads="1"/>
                    </pic:cNvPicPr>
                  </pic:nvPicPr>
                  <pic:blipFill>
                    <a:blip r:embed="rId55" cstate="print"/>
                    <a:srcRect l="-5120" t="29365" r="10400" b="6993"/>
                    <a:stretch>
                      <a:fillRect/>
                    </a:stretch>
                  </pic:blipFill>
                  <pic:spPr bwMode="auto">
                    <a:xfrm>
                      <a:off x="0" y="0"/>
                      <a:ext cx="1021981" cy="285418"/>
                    </a:xfrm>
                    <a:prstGeom prst="rect">
                      <a:avLst/>
                    </a:prstGeom>
                    <a:noFill/>
                    <a:ln w="9525">
                      <a:noFill/>
                      <a:miter lim="800000"/>
                      <a:headEnd/>
                      <a:tailEnd/>
                    </a:ln>
                  </pic:spPr>
                </pic:pic>
              </a:graphicData>
            </a:graphic>
          </wp:inline>
        </w:drawing>
      </w:r>
    </w:p>
    <w:p w:rsidR="000E7451" w:rsidRPr="00030D6A" w:rsidRDefault="00030D6A" w:rsidP="00030D6A">
      <w:pPr>
        <w:pStyle w:val="Standard"/>
      </w:pPr>
      <w:r w:rsidRPr="00030D6A">
        <w:t xml:space="preserve">En posant x </w:t>
      </w:r>
      <w:r>
        <w:t>c</w:t>
      </w:r>
      <w:r w:rsidRPr="00030D6A">
        <w:t>omme suit:</w:t>
      </w:r>
    </w:p>
    <w:p w:rsidR="000E7451" w:rsidRPr="00081B7D" w:rsidRDefault="000E7451" w:rsidP="000E7451">
      <w:pPr>
        <w:ind w:left="0"/>
        <w:jc w:val="center"/>
      </w:pPr>
      <w:r w:rsidRPr="00081B7D">
        <w:rPr>
          <w:noProof/>
          <w:lang w:eastAsia="fr-FR"/>
        </w:rPr>
        <w:drawing>
          <wp:inline distT="0" distB="0" distL="0" distR="0">
            <wp:extent cx="3267356" cy="538875"/>
            <wp:effectExtent l="0" t="0" r="0" b="0"/>
            <wp:docPr id="82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56" cstate="print"/>
                    <a:srcRect/>
                    <a:stretch>
                      <a:fillRect/>
                    </a:stretch>
                  </pic:blipFill>
                  <pic:spPr bwMode="auto">
                    <a:xfrm>
                      <a:off x="0" y="0"/>
                      <a:ext cx="3267356" cy="538875"/>
                    </a:xfrm>
                    <a:prstGeom prst="rect">
                      <a:avLst/>
                    </a:prstGeom>
                    <a:noFill/>
                    <a:ln w="9525">
                      <a:noFill/>
                      <a:miter lim="800000"/>
                      <a:headEnd/>
                      <a:tailEnd/>
                    </a:ln>
                  </pic:spPr>
                </pic:pic>
              </a:graphicData>
            </a:graphic>
          </wp:inline>
        </w:drawing>
      </w:r>
    </w:p>
    <w:p w:rsidR="00030D6A" w:rsidRDefault="00030D6A" w:rsidP="00030D6A">
      <w:pPr>
        <w:pStyle w:val="Standard"/>
      </w:pPr>
      <w:r>
        <w:t>On voit que x suit la loi normale suivante :</w:t>
      </w:r>
    </w:p>
    <w:p w:rsidR="000E7451" w:rsidRPr="00081B7D" w:rsidRDefault="000E7451" w:rsidP="000E7451">
      <w:pPr>
        <w:ind w:left="0"/>
        <w:jc w:val="center"/>
      </w:pPr>
      <w:r w:rsidRPr="00081B7D">
        <w:rPr>
          <w:noProof/>
          <w:lang w:eastAsia="fr-FR"/>
        </w:rPr>
        <w:drawing>
          <wp:inline distT="0" distB="0" distL="0" distR="0">
            <wp:extent cx="1418326" cy="466163"/>
            <wp:effectExtent l="0" t="0" r="0" b="0"/>
            <wp:docPr id="820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9" name="Picture 5"/>
                    <pic:cNvPicPr>
                      <a:picLocks noChangeAspect="1" noChangeArrowheads="1"/>
                    </pic:cNvPicPr>
                  </pic:nvPicPr>
                  <pic:blipFill>
                    <a:blip r:embed="rId57" cstate="print"/>
                    <a:srcRect l="1775" t="-681" r="8563" b="11095"/>
                    <a:stretch>
                      <a:fillRect/>
                    </a:stretch>
                  </pic:blipFill>
                  <pic:spPr bwMode="auto">
                    <a:xfrm>
                      <a:off x="0" y="0"/>
                      <a:ext cx="1418326" cy="466163"/>
                    </a:xfrm>
                    <a:prstGeom prst="rect">
                      <a:avLst/>
                    </a:prstGeom>
                    <a:noFill/>
                    <a:ln w="9525">
                      <a:noFill/>
                      <a:miter lim="800000"/>
                      <a:headEnd/>
                      <a:tailEnd/>
                    </a:ln>
                  </pic:spPr>
                </pic:pic>
              </a:graphicData>
            </a:graphic>
          </wp:inline>
        </w:drawing>
      </w:r>
    </w:p>
    <w:p w:rsidR="000E7451" w:rsidRPr="00081B7D" w:rsidRDefault="000E7451" w:rsidP="000E7451">
      <w:pPr>
        <w:ind w:left="0"/>
        <w:jc w:val="center"/>
      </w:pPr>
      <w:r w:rsidRPr="00081B7D">
        <w:rPr>
          <w:noProof/>
          <w:lang w:eastAsia="fr-FR"/>
        </w:rPr>
        <w:drawing>
          <wp:inline distT="0" distB="0" distL="0" distR="0">
            <wp:extent cx="4933950" cy="1320948"/>
            <wp:effectExtent l="19050" t="0" r="0" b="0"/>
            <wp:docPr id="82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0" name="Picture 6"/>
                    <pic:cNvPicPr>
                      <a:picLocks noChangeAspect="1" noChangeArrowheads="1"/>
                    </pic:cNvPicPr>
                  </pic:nvPicPr>
                  <pic:blipFill>
                    <a:blip r:embed="rId58" cstate="print"/>
                    <a:srcRect/>
                    <a:stretch>
                      <a:fillRect/>
                    </a:stretch>
                  </pic:blipFill>
                  <pic:spPr bwMode="auto">
                    <a:xfrm>
                      <a:off x="0" y="0"/>
                      <a:ext cx="4935365" cy="1321327"/>
                    </a:xfrm>
                    <a:prstGeom prst="rect">
                      <a:avLst/>
                    </a:prstGeom>
                    <a:noFill/>
                    <a:ln w="9525">
                      <a:noFill/>
                      <a:miter lim="800000"/>
                      <a:headEnd/>
                      <a:tailEnd/>
                    </a:ln>
                  </pic:spPr>
                </pic:pic>
              </a:graphicData>
            </a:graphic>
          </wp:inline>
        </w:drawing>
      </w:r>
    </w:p>
    <w:p w:rsidR="000E7451" w:rsidRPr="00081B7D" w:rsidRDefault="000E7451" w:rsidP="000E7451">
      <w:pPr>
        <w:ind w:left="0"/>
        <w:jc w:val="center"/>
      </w:pPr>
      <w:r w:rsidRPr="00081B7D">
        <w:rPr>
          <w:noProof/>
          <w:lang w:eastAsia="fr-FR"/>
        </w:rPr>
        <w:drawing>
          <wp:inline distT="0" distB="0" distL="0" distR="0">
            <wp:extent cx="1962150" cy="521916"/>
            <wp:effectExtent l="19050" t="0" r="0" b="0"/>
            <wp:docPr id="82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Picture 4"/>
                    <pic:cNvPicPr>
                      <a:picLocks noChangeAspect="1" noChangeArrowheads="1"/>
                    </pic:cNvPicPr>
                  </pic:nvPicPr>
                  <pic:blipFill>
                    <a:blip r:embed="rId59" cstate="print"/>
                    <a:srcRect t="5220" b="58381"/>
                    <a:stretch>
                      <a:fillRect/>
                    </a:stretch>
                  </pic:blipFill>
                  <pic:spPr bwMode="auto">
                    <a:xfrm>
                      <a:off x="0" y="0"/>
                      <a:ext cx="1962887" cy="522112"/>
                    </a:xfrm>
                    <a:prstGeom prst="rect">
                      <a:avLst/>
                    </a:prstGeom>
                    <a:noFill/>
                    <a:ln w="9525">
                      <a:noFill/>
                      <a:miter lim="800000"/>
                      <a:headEnd/>
                      <a:tailEnd/>
                    </a:ln>
                  </pic:spPr>
                </pic:pic>
              </a:graphicData>
            </a:graphic>
          </wp:inline>
        </w:drawing>
      </w:r>
    </w:p>
    <w:p w:rsidR="000E7451" w:rsidRDefault="000E7451" w:rsidP="000E7451">
      <w:pPr>
        <w:ind w:left="0"/>
        <w:jc w:val="center"/>
      </w:pPr>
      <w:r w:rsidRPr="00081B7D">
        <w:rPr>
          <w:noProof/>
          <w:lang w:eastAsia="fr-FR"/>
        </w:rPr>
        <w:drawing>
          <wp:inline distT="0" distB="0" distL="0" distR="0">
            <wp:extent cx="1714500" cy="503831"/>
            <wp:effectExtent l="19050" t="0" r="0" b="0"/>
            <wp:docPr id="82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4"/>
                    <pic:cNvPicPr>
                      <a:picLocks noChangeAspect="1" noChangeArrowheads="1"/>
                    </pic:cNvPicPr>
                  </pic:nvPicPr>
                  <pic:blipFill>
                    <a:blip r:embed="rId59" cstate="print"/>
                    <a:srcRect l="7517" t="64566" b="-1756"/>
                    <a:stretch>
                      <a:fillRect/>
                    </a:stretch>
                  </pic:blipFill>
                  <pic:spPr bwMode="auto">
                    <a:xfrm>
                      <a:off x="0" y="0"/>
                      <a:ext cx="1712436" cy="503224"/>
                    </a:xfrm>
                    <a:prstGeom prst="rect">
                      <a:avLst/>
                    </a:prstGeom>
                    <a:noFill/>
                    <a:ln w="9525">
                      <a:noFill/>
                      <a:miter lim="800000"/>
                      <a:headEnd/>
                      <a:tailEnd/>
                    </a:ln>
                  </pic:spPr>
                </pic:pic>
              </a:graphicData>
            </a:graphic>
          </wp:inline>
        </w:drawing>
      </w:r>
    </w:p>
    <w:p w:rsidR="00DD586D" w:rsidRDefault="00DD586D" w:rsidP="000E7451">
      <w:pPr>
        <w:ind w:left="0"/>
        <w:jc w:val="center"/>
      </w:pPr>
    </w:p>
    <w:p w:rsidR="00DD586D" w:rsidRDefault="00DD586D" w:rsidP="000E7451">
      <w:pPr>
        <w:ind w:left="0"/>
        <w:jc w:val="center"/>
      </w:pPr>
    </w:p>
    <w:p w:rsidR="00DD586D" w:rsidRDefault="00DD586D" w:rsidP="000E7451">
      <w:pPr>
        <w:ind w:left="0"/>
        <w:jc w:val="center"/>
      </w:pPr>
    </w:p>
    <w:p w:rsidR="00030D6A" w:rsidRPr="00081B7D" w:rsidRDefault="00030D6A" w:rsidP="00030D6A">
      <w:pPr>
        <w:pStyle w:val="Standard"/>
      </w:pPr>
      <w:r>
        <w:lastRenderedPageBreak/>
        <w:t xml:space="preserve">On retrouve en écrivant la probabilité du dépassement du </w:t>
      </w:r>
      <w:proofErr w:type="spellStart"/>
      <w:r>
        <w:t>seuile</w:t>
      </w:r>
      <w:proofErr w:type="spellEnd"/>
      <w:r>
        <w:t>, on retrouve :</w:t>
      </w:r>
    </w:p>
    <w:p w:rsidR="000E7451" w:rsidRPr="00081B7D" w:rsidRDefault="000E7451" w:rsidP="000E7451">
      <w:pPr>
        <w:ind w:left="0"/>
        <w:jc w:val="center"/>
      </w:pPr>
      <w:r w:rsidRPr="00081B7D">
        <w:rPr>
          <w:noProof/>
          <w:lang w:eastAsia="fr-FR"/>
        </w:rPr>
        <w:drawing>
          <wp:inline distT="0" distB="0" distL="0" distR="0">
            <wp:extent cx="4257925" cy="1574800"/>
            <wp:effectExtent l="19050" t="0" r="9275" b="0"/>
            <wp:docPr id="82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60" cstate="print"/>
                    <a:srcRect l="7520" r="3312"/>
                    <a:stretch>
                      <a:fillRect/>
                    </a:stretch>
                  </pic:blipFill>
                  <pic:spPr bwMode="auto">
                    <a:xfrm>
                      <a:off x="0" y="0"/>
                      <a:ext cx="4258374" cy="1574966"/>
                    </a:xfrm>
                    <a:prstGeom prst="rect">
                      <a:avLst/>
                    </a:prstGeom>
                    <a:noFill/>
                    <a:ln w="9525">
                      <a:noFill/>
                      <a:miter lim="800000"/>
                      <a:headEnd/>
                      <a:tailEnd/>
                    </a:ln>
                  </pic:spPr>
                </pic:pic>
              </a:graphicData>
            </a:graphic>
          </wp:inline>
        </w:drawing>
      </w:r>
    </w:p>
    <w:p w:rsidR="000E7451" w:rsidRPr="00081B7D" w:rsidRDefault="00030D6A" w:rsidP="00030D6A">
      <w:pPr>
        <w:pStyle w:val="Standard"/>
      </w:pPr>
      <w:r>
        <w:t>La p</w:t>
      </w:r>
      <w:r w:rsidR="000E7451" w:rsidRPr="00081B7D">
        <w:t xml:space="preserve">robabilité de </w:t>
      </w:r>
      <w:r w:rsidR="000E7451" w:rsidRPr="006B4E25">
        <w:rPr>
          <w:b/>
        </w:rPr>
        <w:t>non défaut</w:t>
      </w:r>
      <w:r w:rsidR="000E7451" w:rsidRPr="00081B7D">
        <w:t xml:space="preserve"> au début de la période k</w:t>
      </w:r>
      <w:r w:rsidR="006B4E25">
        <w:t>, c’est à dire après k-1 périodes successives est la suivante :</w:t>
      </w:r>
    </w:p>
    <w:p w:rsidR="000E7451" w:rsidRDefault="000E7451" w:rsidP="000E7451">
      <w:pPr>
        <w:ind w:left="0"/>
        <w:jc w:val="center"/>
      </w:pPr>
      <w:r w:rsidRPr="00081B7D">
        <w:rPr>
          <w:noProof/>
          <w:lang w:eastAsia="fr-FR"/>
        </w:rPr>
        <w:drawing>
          <wp:inline distT="0" distB="0" distL="0" distR="0">
            <wp:extent cx="1000215" cy="247650"/>
            <wp:effectExtent l="0" t="0" r="9525" b="0"/>
            <wp:docPr id="82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3"/>
                    <pic:cNvPicPr>
                      <a:picLocks noChangeAspect="1" noChangeArrowheads="1"/>
                    </pic:cNvPicPr>
                  </pic:nvPicPr>
                  <pic:blipFill>
                    <a:blip r:embed="rId61" cstate="print"/>
                    <a:srcRect b="9627"/>
                    <a:stretch>
                      <a:fillRect/>
                    </a:stretch>
                  </pic:blipFill>
                  <pic:spPr bwMode="auto">
                    <a:xfrm>
                      <a:off x="0" y="0"/>
                      <a:ext cx="1000125" cy="247650"/>
                    </a:xfrm>
                    <a:prstGeom prst="rect">
                      <a:avLst/>
                    </a:prstGeom>
                    <a:noFill/>
                    <a:ln w="9525">
                      <a:noFill/>
                      <a:miter lim="800000"/>
                      <a:headEnd/>
                      <a:tailEnd/>
                    </a:ln>
                  </pic:spPr>
                </pic:pic>
              </a:graphicData>
            </a:graphic>
          </wp:inline>
        </w:drawing>
      </w:r>
    </w:p>
    <w:p w:rsidR="006B4E25" w:rsidRPr="00081B7D" w:rsidRDefault="006B4E25" w:rsidP="006B4E25">
      <w:pPr>
        <w:pStyle w:val="Standard"/>
      </w:pPr>
      <w:r>
        <w:t>D’un autre coté, la p</w:t>
      </w:r>
      <w:r w:rsidRPr="006B4E25">
        <w:t xml:space="preserve">robabilité de défaut au début d’une période k avec une perte supérieure au niveau l est </w:t>
      </w:r>
      <w:r>
        <w:t>égale à :</w:t>
      </w:r>
    </w:p>
    <w:p w:rsidR="000E7451" w:rsidRPr="00081B7D" w:rsidRDefault="000E7451" w:rsidP="000E7451">
      <w:pPr>
        <w:ind w:left="0"/>
        <w:jc w:val="center"/>
      </w:pPr>
      <w:r w:rsidRPr="00081B7D">
        <w:rPr>
          <w:noProof/>
          <w:lang w:eastAsia="fr-FR"/>
        </w:rPr>
        <w:drawing>
          <wp:inline distT="0" distB="0" distL="0" distR="0">
            <wp:extent cx="2970171" cy="472667"/>
            <wp:effectExtent l="0" t="0" r="1905" b="3810"/>
            <wp:docPr id="82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 name="Picture 4"/>
                    <pic:cNvPicPr>
                      <a:picLocks noChangeAspect="1" noChangeArrowheads="1"/>
                    </pic:cNvPicPr>
                  </pic:nvPicPr>
                  <pic:blipFill>
                    <a:blip r:embed="rId62" cstate="print"/>
                    <a:srcRect b="10769"/>
                    <a:stretch>
                      <a:fillRect/>
                    </a:stretch>
                  </pic:blipFill>
                  <pic:spPr bwMode="auto">
                    <a:xfrm>
                      <a:off x="0" y="0"/>
                      <a:ext cx="2970171" cy="472667"/>
                    </a:xfrm>
                    <a:prstGeom prst="rect">
                      <a:avLst/>
                    </a:prstGeom>
                    <a:noFill/>
                    <a:ln w="9525">
                      <a:noFill/>
                      <a:miter lim="800000"/>
                      <a:headEnd/>
                      <a:tailEnd/>
                    </a:ln>
                  </pic:spPr>
                </pic:pic>
              </a:graphicData>
            </a:graphic>
          </wp:inline>
        </w:drawing>
      </w:r>
    </w:p>
    <w:p w:rsidR="006B4E25" w:rsidRDefault="006B4E25" w:rsidP="006B4E25">
      <w:pPr>
        <w:pStyle w:val="Standard"/>
      </w:pPr>
    </w:p>
    <w:p w:rsidR="000E7451" w:rsidRPr="00081B7D" w:rsidRDefault="006B4E25" w:rsidP="006B4E25">
      <w:pPr>
        <w:pStyle w:val="Standard"/>
      </w:pPr>
      <w:r>
        <w:t xml:space="preserve">Et finalement, en combinant les deux </w:t>
      </w:r>
      <w:proofErr w:type="gramStart"/>
      <w:r>
        <w:t>égalité</w:t>
      </w:r>
      <w:proofErr w:type="gramEnd"/>
      <w:r>
        <w:t xml:space="preserve"> ci-dessus, la p</w:t>
      </w:r>
      <w:r w:rsidR="000E7451" w:rsidRPr="00081B7D">
        <w:t xml:space="preserve">robabilité de défaut à la </w:t>
      </w:r>
      <w:proofErr w:type="spellStart"/>
      <w:r w:rsidR="000E7451" w:rsidRPr="00081B7D">
        <w:t>k</w:t>
      </w:r>
      <w:r w:rsidR="000E7451" w:rsidRPr="00081B7D">
        <w:rPr>
          <w:vertAlign w:val="superscript"/>
        </w:rPr>
        <w:t>ème</w:t>
      </w:r>
      <w:proofErr w:type="spellEnd"/>
      <w:r w:rsidR="000E7451" w:rsidRPr="00081B7D">
        <w:t xml:space="preserve"> période avec une perte supérieure au niveau l est</w:t>
      </w:r>
      <w:r>
        <w:t> :</w:t>
      </w:r>
    </w:p>
    <w:p w:rsidR="000E7451" w:rsidRPr="00081B7D" w:rsidRDefault="000E7451" w:rsidP="000E7451">
      <w:pPr>
        <w:ind w:left="0"/>
        <w:jc w:val="center"/>
      </w:pPr>
      <w:r w:rsidRPr="00081B7D">
        <w:rPr>
          <w:noProof/>
          <w:lang w:eastAsia="fr-FR"/>
        </w:rPr>
        <w:drawing>
          <wp:inline distT="0" distB="0" distL="0" distR="0">
            <wp:extent cx="1947433" cy="419100"/>
            <wp:effectExtent l="19050" t="0" r="0" b="0"/>
            <wp:docPr id="82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2"/>
                    <pic:cNvPicPr>
                      <a:picLocks noChangeAspect="1" noChangeArrowheads="1"/>
                    </pic:cNvPicPr>
                  </pic:nvPicPr>
                  <pic:blipFill>
                    <a:blip r:embed="rId63" cstate="print"/>
                    <a:srcRect t="17280"/>
                    <a:stretch>
                      <a:fillRect/>
                    </a:stretch>
                  </pic:blipFill>
                  <pic:spPr bwMode="auto">
                    <a:xfrm>
                      <a:off x="0" y="0"/>
                      <a:ext cx="1947604" cy="419137"/>
                    </a:xfrm>
                    <a:prstGeom prst="rect">
                      <a:avLst/>
                    </a:prstGeom>
                    <a:noFill/>
                    <a:ln w="9525">
                      <a:noFill/>
                      <a:miter lim="800000"/>
                      <a:headEnd/>
                      <a:tailEnd/>
                    </a:ln>
                  </pic:spPr>
                </pic:pic>
              </a:graphicData>
            </a:graphic>
          </wp:inline>
        </w:drawing>
      </w:r>
    </w:p>
    <w:p w:rsidR="000E7451" w:rsidRPr="00081B7D" w:rsidRDefault="000E7451" w:rsidP="000E7451">
      <w:pPr>
        <w:ind w:left="0"/>
        <w:jc w:val="center"/>
      </w:pPr>
    </w:p>
    <w:p w:rsidR="000E7451" w:rsidRPr="006B4E25" w:rsidRDefault="000E7451" w:rsidP="006B4E25">
      <w:pPr>
        <w:pStyle w:val="Standard"/>
      </w:pPr>
      <w:r w:rsidRPr="00081B7D">
        <w:t>Probabilité totale d’avoir une perte supérieure au niveau l sur les K périodes</w:t>
      </w:r>
      <w:r w:rsidR="006B4E25">
        <w:t xml:space="preserve"> s’écrit comme la réunion des évènements de perte aux </w:t>
      </w:r>
      <w:proofErr w:type="spellStart"/>
      <w:r w:rsidR="006B4E25" w:rsidRPr="00081B7D">
        <w:t>k</w:t>
      </w:r>
      <w:r w:rsidR="006B4E25" w:rsidRPr="00081B7D">
        <w:rPr>
          <w:vertAlign w:val="superscript"/>
        </w:rPr>
        <w:t>ème</w:t>
      </w:r>
      <w:proofErr w:type="spellEnd"/>
      <w:r w:rsidR="006B4E25">
        <w:rPr>
          <w:vertAlign w:val="superscript"/>
        </w:rPr>
        <w:t xml:space="preserve"> </w:t>
      </w:r>
      <w:r w:rsidR="006B4E25">
        <w:t>périodes :</w:t>
      </w:r>
    </w:p>
    <w:p w:rsidR="00DD586D" w:rsidRDefault="000E7451" w:rsidP="000E7451">
      <w:pPr>
        <w:ind w:left="0"/>
        <w:jc w:val="center"/>
      </w:pPr>
      <w:r w:rsidRPr="00081B7D">
        <w:rPr>
          <w:noProof/>
          <w:lang w:eastAsia="fr-FR"/>
        </w:rPr>
        <w:drawing>
          <wp:inline distT="0" distB="0" distL="0" distR="0">
            <wp:extent cx="4986338" cy="1060648"/>
            <wp:effectExtent l="0" t="0" r="5080" b="6350"/>
            <wp:docPr id="82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5"/>
                    <pic:cNvPicPr>
                      <a:picLocks noChangeAspect="1" noChangeArrowheads="1"/>
                    </pic:cNvPicPr>
                  </pic:nvPicPr>
                  <pic:blipFill>
                    <a:blip r:embed="rId64" cstate="print"/>
                    <a:srcRect/>
                    <a:stretch>
                      <a:fillRect/>
                    </a:stretch>
                  </pic:blipFill>
                  <pic:spPr bwMode="auto">
                    <a:xfrm>
                      <a:off x="0" y="0"/>
                      <a:ext cx="4986338" cy="1060648"/>
                    </a:xfrm>
                    <a:prstGeom prst="rect">
                      <a:avLst/>
                    </a:prstGeom>
                    <a:noFill/>
                    <a:ln w="9525">
                      <a:noFill/>
                      <a:miter lim="800000"/>
                      <a:headEnd/>
                      <a:tailEnd/>
                    </a:ln>
                  </pic:spPr>
                </pic:pic>
              </a:graphicData>
            </a:graphic>
          </wp:inline>
        </w:drawing>
      </w:r>
    </w:p>
    <w:p w:rsidR="000E7451" w:rsidRPr="00081B7D" w:rsidRDefault="00DD586D" w:rsidP="00DD586D">
      <w:pPr>
        <w:ind w:left="0"/>
      </w:pPr>
      <w:r>
        <w:br w:type="page"/>
      </w:r>
    </w:p>
    <w:p w:rsidR="000E7451" w:rsidRPr="00081B7D" w:rsidRDefault="006B4E25" w:rsidP="006B4E25">
      <w:pPr>
        <w:pStyle w:val="Standard"/>
      </w:pPr>
      <w:r>
        <w:lastRenderedPageBreak/>
        <w:t xml:space="preserve">Avec </w:t>
      </w:r>
      <w:r w:rsidR="000E7451" w:rsidRPr="00081B7D">
        <w:t>Q la probabilité de défaut sur la durée du contrat</w:t>
      </w:r>
    </w:p>
    <w:p w:rsidR="000E7451" w:rsidRPr="00081B7D" w:rsidRDefault="006B4E25" w:rsidP="006B4E25">
      <w:pPr>
        <w:pStyle w:val="Standard"/>
      </w:pPr>
      <w:r>
        <w:t xml:space="preserve">Et </w:t>
      </w:r>
      <w:proofErr w:type="spellStart"/>
      <w:r w:rsidR="000E7451" w:rsidRPr="00081B7D">
        <w:t>τ.Q</w:t>
      </w:r>
      <w:proofErr w:type="spellEnd"/>
      <w:r w:rsidR="000E7451" w:rsidRPr="00081B7D">
        <w:t xml:space="preserve"> la probabilité de défaut sur une période </w:t>
      </w:r>
    </w:p>
    <w:p w:rsidR="000E7451" w:rsidRDefault="006B4E25" w:rsidP="006B4E25">
      <w:pPr>
        <w:pStyle w:val="Standard"/>
        <w:rPr>
          <w:i/>
          <w:iCs/>
        </w:rPr>
      </w:pPr>
      <w:r>
        <w:t xml:space="preserve">Et où </w:t>
      </w:r>
      <w:r w:rsidR="000E7451" w:rsidRPr="00081B7D">
        <w:t>Q est supposée indépendante de l’appel de marge ou du niveau de perte</w:t>
      </w:r>
      <w:r w:rsidR="000E7451" w:rsidRPr="00081B7D">
        <w:rPr>
          <w:i/>
          <w:iCs/>
        </w:rPr>
        <w:t xml:space="preserve"> l </w:t>
      </w:r>
    </w:p>
    <w:p w:rsidR="006B4E25" w:rsidRPr="006B4E25" w:rsidRDefault="006B4E25" w:rsidP="006B4E25">
      <w:pPr>
        <w:pStyle w:val="Standard"/>
      </w:pPr>
      <w:r>
        <w:t>Finalement, on retrouve :</w:t>
      </w:r>
    </w:p>
    <w:p w:rsidR="000E7451" w:rsidRPr="00081B7D" w:rsidRDefault="000E7451" w:rsidP="000E7451">
      <w:pPr>
        <w:ind w:left="0"/>
        <w:jc w:val="center"/>
      </w:pPr>
      <w:r w:rsidRPr="00081B7D">
        <w:rPr>
          <w:noProof/>
          <w:lang w:eastAsia="fr-FR"/>
        </w:rPr>
        <w:drawing>
          <wp:inline distT="0" distB="0" distL="0" distR="0">
            <wp:extent cx="4986338" cy="1060648"/>
            <wp:effectExtent l="0" t="0" r="5080" b="6350"/>
            <wp:docPr id="82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5"/>
                    <pic:cNvPicPr>
                      <a:picLocks noChangeAspect="1" noChangeArrowheads="1"/>
                    </pic:cNvPicPr>
                  </pic:nvPicPr>
                  <pic:blipFill>
                    <a:blip r:embed="rId64" cstate="print"/>
                    <a:srcRect/>
                    <a:stretch>
                      <a:fillRect/>
                    </a:stretch>
                  </pic:blipFill>
                  <pic:spPr bwMode="auto">
                    <a:xfrm>
                      <a:off x="0" y="0"/>
                      <a:ext cx="4986338" cy="1060648"/>
                    </a:xfrm>
                    <a:prstGeom prst="rect">
                      <a:avLst/>
                    </a:prstGeom>
                    <a:noFill/>
                    <a:ln w="9525">
                      <a:noFill/>
                      <a:miter lim="800000"/>
                      <a:headEnd/>
                      <a:tailEnd/>
                    </a:ln>
                  </pic:spPr>
                </pic:pic>
              </a:graphicData>
            </a:graphic>
          </wp:inline>
        </w:drawing>
      </w:r>
    </w:p>
    <w:p w:rsidR="00D26186" w:rsidRDefault="000E7451" w:rsidP="000E7451">
      <w:pPr>
        <w:ind w:left="0"/>
        <w:jc w:val="center"/>
      </w:pPr>
      <w:r w:rsidRPr="00081B7D">
        <w:rPr>
          <w:noProof/>
          <w:lang w:eastAsia="fr-FR"/>
        </w:rPr>
        <w:drawing>
          <wp:inline distT="0" distB="0" distL="0" distR="0">
            <wp:extent cx="3086100" cy="491116"/>
            <wp:effectExtent l="19050" t="19050" r="19050" b="23234"/>
            <wp:docPr id="82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
                    <pic:cNvPicPr>
                      <a:picLocks noChangeAspect="1" noChangeArrowheads="1"/>
                    </pic:cNvPicPr>
                  </pic:nvPicPr>
                  <pic:blipFill>
                    <a:blip r:embed="rId62" cstate="print"/>
                    <a:srcRect b="10769"/>
                    <a:stretch>
                      <a:fillRect/>
                    </a:stretch>
                  </pic:blipFill>
                  <pic:spPr bwMode="auto">
                    <a:xfrm>
                      <a:off x="0" y="0"/>
                      <a:ext cx="3087583" cy="491352"/>
                    </a:xfrm>
                    <a:prstGeom prst="rect">
                      <a:avLst/>
                    </a:prstGeom>
                    <a:noFill/>
                    <a:ln w="9525">
                      <a:solidFill>
                        <a:schemeClr val="accent1"/>
                      </a:solidFill>
                      <a:miter lim="800000"/>
                      <a:headEnd/>
                      <a:tailEnd/>
                    </a:ln>
                  </pic:spPr>
                </pic:pic>
              </a:graphicData>
            </a:graphic>
          </wp:inline>
        </w:drawing>
      </w:r>
    </w:p>
    <w:p w:rsidR="000E7451" w:rsidRPr="00081B7D" w:rsidRDefault="006B4E25" w:rsidP="00DD586D">
      <w:pPr>
        <w:pStyle w:val="Standard"/>
      </w:pPr>
      <w:r>
        <w:t>On retrouve la dépendance du :</w:t>
      </w:r>
    </w:p>
    <w:p w:rsidR="000E7451" w:rsidRPr="00081B7D" w:rsidRDefault="000E7451" w:rsidP="008B6BE7">
      <w:pPr>
        <w:pStyle w:val="Standard"/>
        <w:numPr>
          <w:ilvl w:val="0"/>
          <w:numId w:val="6"/>
        </w:numPr>
      </w:pPr>
      <w:proofErr w:type="spellStart"/>
      <w:r w:rsidRPr="00081B7D">
        <w:t>Haircut</w:t>
      </w:r>
      <w:proofErr w:type="spellEnd"/>
    </w:p>
    <w:p w:rsidR="000E7451" w:rsidRPr="00081B7D" w:rsidRDefault="000E7451" w:rsidP="008B6BE7">
      <w:pPr>
        <w:pStyle w:val="Standard"/>
        <w:numPr>
          <w:ilvl w:val="0"/>
          <w:numId w:val="6"/>
        </w:numPr>
      </w:pPr>
      <w:r w:rsidRPr="00081B7D">
        <w:t>Niveau de perte</w:t>
      </w:r>
    </w:p>
    <w:p w:rsidR="000E7451" w:rsidRPr="00081B7D" w:rsidRDefault="000E7451" w:rsidP="008B6BE7">
      <w:pPr>
        <w:pStyle w:val="Standard"/>
        <w:numPr>
          <w:ilvl w:val="0"/>
          <w:numId w:val="6"/>
        </w:numPr>
      </w:pPr>
      <w:r w:rsidRPr="00081B7D">
        <w:t>Le collatéral utilisé (Maturité/Qualité)</w:t>
      </w:r>
    </w:p>
    <w:p w:rsidR="000E7451" w:rsidRPr="00081B7D" w:rsidRDefault="000E7451" w:rsidP="008B6BE7">
      <w:pPr>
        <w:pStyle w:val="Standard"/>
        <w:numPr>
          <w:ilvl w:val="0"/>
          <w:numId w:val="6"/>
        </w:numPr>
      </w:pPr>
      <w:r w:rsidRPr="00081B7D">
        <w:t>La volatilité du taux d’intérêt</w:t>
      </w:r>
    </w:p>
    <w:p w:rsidR="000E7451" w:rsidRPr="00081B7D" w:rsidRDefault="000E7451" w:rsidP="008B6BE7">
      <w:pPr>
        <w:pStyle w:val="Standard"/>
        <w:numPr>
          <w:ilvl w:val="0"/>
          <w:numId w:val="6"/>
        </w:numPr>
      </w:pPr>
      <w:r w:rsidRPr="00081B7D">
        <w:t xml:space="preserve">La fréquence du </w:t>
      </w:r>
      <w:proofErr w:type="spellStart"/>
      <w:r w:rsidRPr="00081B7D">
        <w:t>Marking</w:t>
      </w:r>
      <w:proofErr w:type="spellEnd"/>
      <w:r w:rsidRPr="00081B7D">
        <w:t xml:space="preserve"> to </w:t>
      </w:r>
      <w:proofErr w:type="spellStart"/>
      <w:r w:rsidRPr="00081B7D">
        <w:t>Market</w:t>
      </w:r>
      <w:proofErr w:type="spellEnd"/>
    </w:p>
    <w:p w:rsidR="000E7451" w:rsidRPr="00081B7D" w:rsidRDefault="000E7451" w:rsidP="008B6BE7">
      <w:pPr>
        <w:pStyle w:val="Standard"/>
        <w:numPr>
          <w:ilvl w:val="0"/>
          <w:numId w:val="6"/>
        </w:numPr>
      </w:pPr>
      <w:r w:rsidRPr="00081B7D">
        <w:t>Qualité de la contrepartie (Probabilité de défaut)</w:t>
      </w:r>
    </w:p>
    <w:p w:rsidR="000E7451" w:rsidRPr="00081B7D" w:rsidRDefault="00DD586D" w:rsidP="00DD586D">
      <w:pPr>
        <w:ind w:left="0"/>
      </w:pPr>
      <w:r>
        <w:br w:type="page"/>
      </w:r>
    </w:p>
    <w:p w:rsidR="000E7451" w:rsidRPr="00081B7D" w:rsidRDefault="000E7451" w:rsidP="000E7451">
      <w:pPr>
        <w:pStyle w:val="Heading3"/>
      </w:pPr>
      <w:bookmarkStart w:id="25" w:name="_Toc494147796"/>
      <w:r w:rsidRPr="00081B7D">
        <w:lastRenderedPageBreak/>
        <w:t>Simulation</w:t>
      </w:r>
      <w:bookmarkEnd w:id="25"/>
    </w:p>
    <w:p w:rsidR="00D26186" w:rsidRPr="00081B7D" w:rsidRDefault="00D26186" w:rsidP="00D26186">
      <w:pPr>
        <w:pStyle w:val="Standard"/>
      </w:pPr>
      <w:r w:rsidRPr="00081B7D">
        <w:t xml:space="preserve">On cherche </w:t>
      </w:r>
      <w:proofErr w:type="gramStart"/>
      <w:r w:rsidRPr="00081B7D">
        <w:t>a</w:t>
      </w:r>
      <w:proofErr w:type="gramEnd"/>
      <w:r w:rsidRPr="00081B7D">
        <w:t xml:space="preserve"> probabilité d’avoir un </w:t>
      </w:r>
      <w:proofErr w:type="spellStart"/>
      <w:r w:rsidRPr="00081B7D">
        <w:t>Loss</w:t>
      </w:r>
      <w:proofErr w:type="spellEnd"/>
      <w:r w:rsidRPr="00081B7D">
        <w:t xml:space="preserve"> maximum de 5%</w:t>
      </w:r>
      <w:r w:rsidRPr="00081B7D">
        <w:br/>
        <w:t xml:space="preserve">selon différents </w:t>
      </w:r>
      <w:proofErr w:type="spellStart"/>
      <w:r w:rsidRPr="00081B7D">
        <w:t>Marking</w:t>
      </w:r>
      <w:proofErr w:type="spellEnd"/>
      <w:r w:rsidRPr="00081B7D">
        <w:t xml:space="preserve"> to </w:t>
      </w:r>
      <w:proofErr w:type="spellStart"/>
      <w:r w:rsidRPr="00081B7D">
        <w:t>Market</w:t>
      </w:r>
      <w:proofErr w:type="spellEnd"/>
      <w:r w:rsidRPr="00081B7D">
        <w:t>?</w:t>
      </w:r>
    </w:p>
    <w:p w:rsidR="000E7451" w:rsidRDefault="000E7451" w:rsidP="000E7451">
      <w:r w:rsidRPr="00081B7D">
        <w:rPr>
          <w:noProof/>
          <w:lang w:eastAsia="fr-FR"/>
        </w:rPr>
        <w:drawing>
          <wp:inline distT="0" distB="0" distL="0" distR="0">
            <wp:extent cx="3322828" cy="2847975"/>
            <wp:effectExtent l="19050" t="0" r="0" b="0"/>
            <wp:docPr id="8220"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25513" cy="2850276"/>
                    </a:xfrm>
                    <a:prstGeom prst="rect">
                      <a:avLst/>
                    </a:prstGeom>
                    <a:noFill/>
                  </pic:spPr>
                </pic:pic>
              </a:graphicData>
            </a:graphic>
          </wp:inline>
        </w:drawing>
      </w:r>
    </w:p>
    <w:p w:rsidR="00D26186" w:rsidRPr="00081B7D" w:rsidRDefault="00D26186" w:rsidP="00D26186">
      <w:pPr>
        <w:pStyle w:val="Standard"/>
      </w:pPr>
      <w:r>
        <w:t>On retrouve les résultats suivants</w:t>
      </w:r>
    </w:p>
    <w:p w:rsidR="00DD586D" w:rsidRDefault="000E7451" w:rsidP="000E7451">
      <w:r w:rsidRPr="00081B7D">
        <w:rPr>
          <w:noProof/>
          <w:lang w:eastAsia="fr-FR"/>
        </w:rPr>
        <w:drawing>
          <wp:inline distT="0" distB="0" distL="0" distR="0">
            <wp:extent cx="2879320" cy="1552575"/>
            <wp:effectExtent l="19050" t="0" r="0" b="0"/>
            <wp:docPr id="8221"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82419" cy="1554246"/>
                    </a:xfrm>
                    <a:prstGeom prst="rect">
                      <a:avLst/>
                    </a:prstGeom>
                    <a:noFill/>
                  </pic:spPr>
                </pic:pic>
              </a:graphicData>
            </a:graphic>
          </wp:inline>
        </w:drawing>
      </w:r>
    </w:p>
    <w:p w:rsidR="00DD586D" w:rsidRDefault="00DD586D">
      <w:pPr>
        <w:ind w:left="0"/>
      </w:pPr>
      <w:r>
        <w:br w:type="page"/>
      </w:r>
    </w:p>
    <w:p w:rsidR="000E7451" w:rsidRPr="00081B7D" w:rsidRDefault="000E7451" w:rsidP="000E7451"/>
    <w:p w:rsidR="000E7451" w:rsidRPr="00081B7D" w:rsidRDefault="00D26186" w:rsidP="00D26186">
      <w:pPr>
        <w:pStyle w:val="Standard"/>
      </w:pPr>
      <w:r>
        <w:t xml:space="preserve">En diminuant  le </w:t>
      </w:r>
      <w:proofErr w:type="spellStart"/>
      <w:r>
        <w:t>Haircut</w:t>
      </w:r>
      <w:proofErr w:type="spellEnd"/>
      <w:r>
        <w:t xml:space="preserve"> par 10 on retrouve une probabilité de dépassement nettement plus grande et 10000 fois supérieure dans le cas d’un appel de marge quotidien.</w:t>
      </w:r>
    </w:p>
    <w:p w:rsidR="000E7451" w:rsidRPr="00081B7D" w:rsidRDefault="000E7451" w:rsidP="000E7451">
      <w:r w:rsidRPr="00081B7D">
        <w:rPr>
          <w:noProof/>
          <w:lang w:eastAsia="fr-FR"/>
        </w:rPr>
        <w:drawing>
          <wp:inline distT="0" distB="0" distL="0" distR="0">
            <wp:extent cx="3426268" cy="2936631"/>
            <wp:effectExtent l="0" t="0" r="3175" b="0"/>
            <wp:docPr id="822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29920" cy="2939761"/>
                    </a:xfrm>
                    <a:prstGeom prst="rect">
                      <a:avLst/>
                    </a:prstGeom>
                    <a:noFill/>
                  </pic:spPr>
                </pic:pic>
              </a:graphicData>
            </a:graphic>
          </wp:inline>
        </w:drawing>
      </w:r>
    </w:p>
    <w:p w:rsidR="000E7451" w:rsidRPr="00081B7D" w:rsidRDefault="000E7451" w:rsidP="000E7451">
      <w:r w:rsidRPr="00081B7D">
        <w:rPr>
          <w:noProof/>
          <w:lang w:eastAsia="fr-FR"/>
        </w:rPr>
        <w:drawing>
          <wp:inline distT="0" distB="0" distL="0" distR="0">
            <wp:extent cx="2511083" cy="1354015"/>
            <wp:effectExtent l="0" t="0" r="3810" b="0"/>
            <wp:docPr id="822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508246" cy="1352485"/>
                    </a:xfrm>
                    <a:prstGeom prst="rect">
                      <a:avLst/>
                    </a:prstGeom>
                    <a:noFill/>
                  </pic:spPr>
                </pic:pic>
              </a:graphicData>
            </a:graphic>
          </wp:inline>
        </w:drawing>
      </w:r>
    </w:p>
    <w:p w:rsidR="000E7451" w:rsidRPr="00081B7D" w:rsidRDefault="000E7451" w:rsidP="000E7451">
      <w:pPr>
        <w:pStyle w:val="Textbody"/>
      </w:pPr>
    </w:p>
    <w:p w:rsidR="000E7451" w:rsidRDefault="000E7451" w:rsidP="00D26186">
      <w:pPr>
        <w:pStyle w:val="Textbody"/>
        <w:ind w:left="0" w:firstLine="0"/>
      </w:pPr>
    </w:p>
    <w:p w:rsidR="000E7451" w:rsidRPr="000E7451" w:rsidRDefault="000E7451" w:rsidP="000E7451">
      <w:pPr>
        <w:ind w:left="0"/>
        <w:rPr>
          <w:rFonts w:asciiTheme="majorHAnsi" w:hAnsiTheme="majorHAnsi"/>
          <w:noProof/>
          <w:sz w:val="28"/>
          <w:lang w:eastAsia="fr-FR"/>
        </w:rPr>
      </w:pPr>
      <w:r>
        <w:br w:type="page"/>
      </w:r>
    </w:p>
    <w:p w:rsidR="00C8696E" w:rsidRPr="00081B7D" w:rsidRDefault="00C8696E" w:rsidP="00564CDD">
      <w:pPr>
        <w:pStyle w:val="Heading1"/>
      </w:pPr>
      <w:bookmarkStart w:id="26" w:name="_Toc494147797"/>
      <w:r w:rsidRPr="00081B7D">
        <w:lastRenderedPageBreak/>
        <w:t>Missions et projets</w:t>
      </w:r>
      <w:bookmarkEnd w:id="26"/>
      <w:r w:rsidRPr="00081B7D">
        <w:t xml:space="preserve"> </w:t>
      </w:r>
    </w:p>
    <w:p w:rsidR="00C8696E" w:rsidRPr="00081B7D" w:rsidRDefault="00C8696E" w:rsidP="005D635F">
      <w:pPr>
        <w:pStyle w:val="Heading2"/>
      </w:pPr>
      <w:bookmarkStart w:id="27" w:name="_Toc494147798"/>
      <w:r w:rsidRPr="00081B7D">
        <w:t>Activité quotidienne</w:t>
      </w:r>
      <w:bookmarkEnd w:id="27"/>
    </w:p>
    <w:p w:rsidR="005D635F" w:rsidRPr="00081B7D" w:rsidRDefault="005D635F" w:rsidP="005D635F">
      <w:pPr>
        <w:pStyle w:val="Heading3"/>
        <w:rPr>
          <w:lang w:val="fr-FR"/>
        </w:rPr>
      </w:pPr>
      <w:bookmarkStart w:id="28" w:name="_Toc494147799"/>
      <w:r w:rsidRPr="00081B7D">
        <w:rPr>
          <w:lang w:val="fr-FR"/>
        </w:rPr>
        <w:t xml:space="preserve">Contrats </w:t>
      </w:r>
      <w:r w:rsidR="006E22CD" w:rsidRPr="00081B7D">
        <w:rPr>
          <w:lang w:val="fr-FR"/>
        </w:rPr>
        <w:t>traités</w:t>
      </w:r>
      <w:bookmarkEnd w:id="28"/>
    </w:p>
    <w:p w:rsidR="00F41F72" w:rsidRPr="00081B7D" w:rsidRDefault="006E22CD" w:rsidP="00F41F72">
      <w:pPr>
        <w:pStyle w:val="Standard"/>
      </w:pPr>
      <w:r w:rsidRPr="00081B7D">
        <w:t>Nous traitons les opérations sur les contrats de Repo et de Prêt-Emprunt. Le Repo correspond à un contrat qui lie un vendeur de titres et un acheteur de titre sur une durée bien déterminée. Au cours de cette période du collatéral est échangé pour garder la même valeur de titres échangés, suivant les fluctuations du marché. A la fin de la période, l’acheteur de titre les revend, et le vendeur rachète ses propres titres en payant un taux d’intérêt, appelé taux de Repo.</w:t>
      </w:r>
    </w:p>
    <w:p w:rsidR="006E22CD" w:rsidRPr="00081B7D" w:rsidRDefault="006E22CD" w:rsidP="00F41F72">
      <w:pPr>
        <w:pStyle w:val="Standard"/>
      </w:pPr>
      <w:r w:rsidRPr="00081B7D">
        <w:t xml:space="preserve">Un Reverse Repo correspond au cas inverse, du point de vue du vendeur de titre, c’est à dire on vend des titres ensuite on les rachète </w:t>
      </w:r>
      <w:proofErr w:type="gramStart"/>
      <w:r w:rsidRPr="00081B7D">
        <w:t>;</w:t>
      </w:r>
      <w:proofErr w:type="gramEnd"/>
      <w:r w:rsidRPr="00081B7D">
        <w:br/>
        <w:t>Le prêt-emprunt quant à lui consiste à un emprunt de titres par  l’emprunteur, avec un accord préalable pour rendre les titres à une date future bien déterminé. Le prêteur de titre reçoit des intérêts en retour.</w:t>
      </w:r>
      <w:r w:rsidR="009A180E" w:rsidRPr="00081B7D">
        <w:br/>
      </w:r>
      <w:r w:rsidRPr="00081B7D">
        <w:br/>
        <w:t xml:space="preserve">Comme pour le Repo, du collatéral est mis à la disposition du prêteur le temps du contrat, et des appels de marges quotidiens sont échangés. </w:t>
      </w:r>
      <w:r w:rsidRPr="00081B7D">
        <w:br/>
        <w:t>La différence entre le Repo et le prêt emprunt est le but de l’opération, le Repo est focalisé sur la liquidité, contrairement au prêt-emprunt qui lui est orienté titres.</w:t>
      </w:r>
      <w:r w:rsidR="00284A90" w:rsidRPr="00081B7D">
        <w:t xml:space="preserve"> </w:t>
      </w:r>
    </w:p>
    <w:p w:rsidR="00284A90" w:rsidRPr="00081B7D" w:rsidRDefault="00284A90" w:rsidP="001541A6">
      <w:pPr>
        <w:pStyle w:val="Standard"/>
      </w:pPr>
      <w:r w:rsidRPr="00081B7D">
        <w:t xml:space="preserve">Le collatéral </w:t>
      </w:r>
      <w:r w:rsidR="00CB0315" w:rsidRPr="00081B7D">
        <w:t>que nous gérons est uniquement composé d’obligations.</w:t>
      </w:r>
    </w:p>
    <w:p w:rsidR="005D635F" w:rsidRPr="00081B7D" w:rsidRDefault="005D635F" w:rsidP="005D635F">
      <w:pPr>
        <w:pStyle w:val="Heading3"/>
        <w:rPr>
          <w:lang w:val="fr-FR"/>
        </w:rPr>
      </w:pPr>
      <w:r w:rsidRPr="00081B7D">
        <w:rPr>
          <w:lang w:val="fr-FR"/>
        </w:rPr>
        <w:t xml:space="preserve"> </w:t>
      </w:r>
      <w:bookmarkStart w:id="29" w:name="_Toc494147800"/>
      <w:r w:rsidRPr="00081B7D">
        <w:rPr>
          <w:lang w:val="fr-FR"/>
        </w:rPr>
        <w:t>Axes de l’activité</w:t>
      </w:r>
      <w:bookmarkEnd w:id="29"/>
    </w:p>
    <w:p w:rsidR="005D635F" w:rsidRPr="00081B7D" w:rsidRDefault="005D635F" w:rsidP="001541A6">
      <w:pPr>
        <w:pStyle w:val="Standard"/>
      </w:pPr>
      <w:r w:rsidRPr="00081B7D">
        <w:t>Notre activité</w:t>
      </w:r>
      <w:r w:rsidR="00284A90" w:rsidRPr="00081B7D">
        <w:t xml:space="preserve"> est au centre des activités du marché du collatéral.</w:t>
      </w:r>
      <w:r w:rsidRPr="00081B7D">
        <w:t xml:space="preserve"> </w:t>
      </w:r>
      <w:r w:rsidR="00284A90" w:rsidRPr="00081B7D">
        <w:t xml:space="preserve">Elle est aussi </w:t>
      </w:r>
      <w:r w:rsidRPr="00081B7D">
        <w:t xml:space="preserve">très </w:t>
      </w:r>
      <w:r w:rsidR="006E22CD" w:rsidRPr="00081B7D">
        <w:t>orientée</w:t>
      </w:r>
      <w:r w:rsidRPr="00081B7D">
        <w:t xml:space="preserve"> vers le client. Tous les jours, on s’occupe du calcul et de la communication des appels de marge face à la contrepartie, on négocie avec eu</w:t>
      </w:r>
      <w:r w:rsidR="00C45ACD" w:rsidRPr="00081B7D">
        <w:t>x les accords, et dans le cas d’une</w:t>
      </w:r>
      <w:r w:rsidRPr="00081B7D">
        <w:t xml:space="preserve"> dispute, </w:t>
      </w:r>
      <w:r w:rsidR="00C45ACD" w:rsidRPr="00081B7D">
        <w:t xml:space="preserve">ce </w:t>
      </w:r>
      <w:r w:rsidRPr="00081B7D">
        <w:t>qui est assez fréquent, on essaie de réconcilier les portefeuille</w:t>
      </w:r>
      <w:r w:rsidR="004B08B5" w:rsidRPr="00081B7D">
        <w:t>s</w:t>
      </w:r>
      <w:r w:rsidRPr="00081B7D">
        <w:t xml:space="preserve">. Un travail d’analyse est alors effectué pour comprendre la cause de la </w:t>
      </w:r>
      <w:r w:rsidR="006E22CD" w:rsidRPr="00081B7D">
        <w:t>dispute</w:t>
      </w:r>
      <w:r w:rsidRPr="00081B7D">
        <w:t xml:space="preserve"> et essayer de </w:t>
      </w:r>
      <w:r w:rsidR="006E22CD" w:rsidRPr="00081B7D">
        <w:t>se mettre d’accord avec</w:t>
      </w:r>
      <w:r w:rsidRPr="00081B7D">
        <w:t xml:space="preserve"> la contrepartie.</w:t>
      </w:r>
    </w:p>
    <w:p w:rsidR="00751523" w:rsidRPr="00081B7D" w:rsidRDefault="006E22CD" w:rsidP="00081B7D">
      <w:pPr>
        <w:pStyle w:val="Textbody"/>
        <w:jc w:val="center"/>
      </w:pPr>
      <w:r w:rsidRPr="00081B7D">
        <w:lastRenderedPageBreak/>
        <w:drawing>
          <wp:inline distT="0" distB="0" distL="0" distR="0">
            <wp:extent cx="4783932" cy="2485361"/>
            <wp:effectExtent l="0" t="0" r="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86435" cy="2486661"/>
                    </a:xfrm>
                    <a:prstGeom prst="rect">
                      <a:avLst/>
                    </a:prstGeom>
                    <a:noFill/>
                  </pic:spPr>
                </pic:pic>
              </a:graphicData>
            </a:graphic>
          </wp:inline>
        </w:drawing>
      </w:r>
    </w:p>
    <w:p w:rsidR="006E22CD" w:rsidRPr="00081B7D" w:rsidRDefault="00751523" w:rsidP="00751523">
      <w:pPr>
        <w:pStyle w:val="Caption"/>
        <w:jc w:val="center"/>
        <w:rPr>
          <w:color w:val="262626" w:themeColor="text1" w:themeTint="D9"/>
        </w:rPr>
      </w:pPr>
      <w:bookmarkStart w:id="30" w:name="_Toc493449777"/>
      <w:bookmarkStart w:id="31" w:name="_Toc494147816"/>
      <w:r w:rsidRPr="00081B7D">
        <w:rPr>
          <w:color w:val="262626" w:themeColor="text1" w:themeTint="D9"/>
        </w:rPr>
        <w:t xml:space="preserve">Figure </w:t>
      </w:r>
      <w:r w:rsidR="007E2F79" w:rsidRPr="00081B7D">
        <w:rPr>
          <w:color w:val="262626" w:themeColor="text1" w:themeTint="D9"/>
        </w:rPr>
        <w:fldChar w:fldCharType="begin"/>
      </w:r>
      <w:r w:rsidR="00F747A6" w:rsidRPr="00081B7D">
        <w:rPr>
          <w:color w:val="262626" w:themeColor="text1" w:themeTint="D9"/>
        </w:rPr>
        <w:instrText xml:space="preserve"> SEQ Figure \* ARABIC </w:instrText>
      </w:r>
      <w:r w:rsidR="007E2F79" w:rsidRPr="00081B7D">
        <w:rPr>
          <w:color w:val="262626" w:themeColor="text1" w:themeTint="D9"/>
        </w:rPr>
        <w:fldChar w:fldCharType="separate"/>
      </w:r>
      <w:r w:rsidR="007D6C7C">
        <w:rPr>
          <w:noProof/>
          <w:color w:val="262626" w:themeColor="text1" w:themeTint="D9"/>
        </w:rPr>
        <w:t>6</w:t>
      </w:r>
      <w:r w:rsidR="007E2F79" w:rsidRPr="00081B7D">
        <w:rPr>
          <w:color w:val="262626" w:themeColor="text1" w:themeTint="D9"/>
        </w:rPr>
        <w:fldChar w:fldCharType="end"/>
      </w:r>
      <w:r w:rsidRPr="00081B7D">
        <w:rPr>
          <w:color w:val="262626" w:themeColor="text1" w:themeTint="D9"/>
        </w:rPr>
        <w:t>: Axes de l'activité</w:t>
      </w:r>
      <w:bookmarkEnd w:id="30"/>
      <w:bookmarkEnd w:id="31"/>
    </w:p>
    <w:p w:rsidR="005D635F" w:rsidRPr="00081B7D" w:rsidRDefault="005D635F" w:rsidP="001541A6">
      <w:pPr>
        <w:pStyle w:val="Standard"/>
      </w:pPr>
      <w:r w:rsidRPr="00081B7D">
        <w:t>D’un autre côté, on essaye d’optimiser le pool collatéral, lors de la réception et la livraison des titres émis en tant que collatéral.</w:t>
      </w:r>
    </w:p>
    <w:p w:rsidR="005D635F" w:rsidRPr="00081B7D" w:rsidRDefault="00CB0315" w:rsidP="001541A6">
      <w:pPr>
        <w:pStyle w:val="Standard"/>
      </w:pPr>
      <w:r w:rsidRPr="00081B7D">
        <w:t>C’est là</w:t>
      </w:r>
      <w:r w:rsidR="005D635F" w:rsidRPr="00081B7D">
        <w:t xml:space="preserve"> qu’on est demandé à avoir une prise de recul quant aux titres qu’on reçoit ou qu’on propose à la contrepartie. Et c’est là qu’interviennent certains paramètres </w:t>
      </w:r>
      <w:r w:rsidR="00DD586D" w:rsidRPr="00081B7D">
        <w:t>tels</w:t>
      </w:r>
      <w:r w:rsidR="005D635F" w:rsidRPr="00081B7D">
        <w:t xml:space="preserve"> que le </w:t>
      </w:r>
      <w:proofErr w:type="spellStart"/>
      <w:r w:rsidR="005D635F" w:rsidRPr="00081B7D">
        <w:t>Haircut</w:t>
      </w:r>
      <w:proofErr w:type="spellEnd"/>
      <w:r w:rsidR="005D635F" w:rsidRPr="00081B7D">
        <w:t>, qui est paramétré selon la qualité du titre ou la qualité de la contrepartie.</w:t>
      </w:r>
      <w:r w:rsidR="00C45ACD" w:rsidRPr="00081B7D">
        <w:t xml:space="preserve"> Ce paramètre sera traité dans la partie suivante.</w:t>
      </w:r>
    </w:p>
    <w:p w:rsidR="005D635F" w:rsidRPr="00081B7D" w:rsidRDefault="005D635F" w:rsidP="001541A6">
      <w:pPr>
        <w:pStyle w:val="Standard"/>
      </w:pPr>
      <w:r w:rsidRPr="00081B7D">
        <w:t>La durée de vie de l’obligation par exemple, est elle aussi significative, mais celle-ci ne sera pas prise en compte dans ce projet. Mais à titre d’information, plus l’échéance du titre est lointaine plus le besoin en collatéral en ce titre est moindre.</w:t>
      </w:r>
    </w:p>
    <w:p w:rsidR="005D635F" w:rsidRPr="00081B7D" w:rsidRDefault="005D635F" w:rsidP="005D635F">
      <w:pPr>
        <w:pStyle w:val="Heading3"/>
        <w:rPr>
          <w:lang w:val="fr-FR"/>
        </w:rPr>
      </w:pPr>
      <w:bookmarkStart w:id="32" w:name="_Toc494147801"/>
      <w:r w:rsidRPr="00081B7D">
        <w:rPr>
          <w:lang w:val="fr-FR"/>
        </w:rPr>
        <w:t>Collatéral face au risque</w:t>
      </w:r>
      <w:bookmarkEnd w:id="32"/>
    </w:p>
    <w:p w:rsidR="005D635F" w:rsidRPr="00081B7D" w:rsidRDefault="005D635F" w:rsidP="001541A6">
      <w:pPr>
        <w:pStyle w:val="Standard"/>
      </w:pPr>
      <w:r w:rsidRPr="00081B7D">
        <w:t>Nous sommes donc face à un suivi de risque sur trois volets. Un risque de contrepartie, le jour ou la contrepartie, n’arrive pas à nous livrer en collatéral, pour une raison de faillite princi</w:t>
      </w:r>
      <w:r w:rsidR="006E22CD" w:rsidRPr="00081B7D">
        <w:t>p</w:t>
      </w:r>
      <w:r w:rsidRPr="00081B7D">
        <w:t>alement, un risque de règlement, pour des raisons différentes après avoir été d’accord sur le besoin en collatéral, et enfin un risque opérationnel très présent et non négligeable, que ce soit de notre côté ou de celle de la contrepartie.</w:t>
      </w:r>
    </w:p>
    <w:p w:rsidR="009A180E" w:rsidRPr="00081B7D" w:rsidRDefault="006E22CD" w:rsidP="00081B7D">
      <w:pPr>
        <w:pStyle w:val="Textbody"/>
        <w:ind w:left="-284"/>
      </w:pPr>
      <w:r w:rsidRPr="00081B7D">
        <w:lastRenderedPageBreak/>
        <w:drawing>
          <wp:inline distT="0" distB="0" distL="0" distR="0">
            <wp:extent cx="5741377" cy="2425984"/>
            <wp:effectExtent l="0" t="0" r="0" b="0"/>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6386" r="1272"/>
                    <a:stretch/>
                  </pic:blipFill>
                  <pic:spPr bwMode="auto">
                    <a:xfrm>
                      <a:off x="0" y="0"/>
                      <a:ext cx="5760613" cy="2434112"/>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E22CD" w:rsidRPr="00081B7D" w:rsidRDefault="009A180E" w:rsidP="009A180E">
      <w:pPr>
        <w:pStyle w:val="Caption"/>
        <w:jc w:val="center"/>
        <w:rPr>
          <w:color w:val="262626" w:themeColor="text1" w:themeTint="D9"/>
        </w:rPr>
      </w:pPr>
      <w:bookmarkStart w:id="33" w:name="_Toc494147817"/>
      <w:r w:rsidRPr="00081B7D">
        <w:rPr>
          <w:color w:val="262626" w:themeColor="text1" w:themeTint="D9"/>
        </w:rPr>
        <w:t xml:space="preserve">Figure </w:t>
      </w:r>
      <w:r w:rsidR="007E2F79" w:rsidRPr="00081B7D">
        <w:rPr>
          <w:color w:val="262626" w:themeColor="text1" w:themeTint="D9"/>
        </w:rPr>
        <w:fldChar w:fldCharType="begin"/>
      </w:r>
      <w:r w:rsidR="00F747A6" w:rsidRPr="00081B7D">
        <w:rPr>
          <w:color w:val="262626" w:themeColor="text1" w:themeTint="D9"/>
        </w:rPr>
        <w:instrText xml:space="preserve"> SEQ Figure \* ARABIC </w:instrText>
      </w:r>
      <w:r w:rsidR="007E2F79" w:rsidRPr="00081B7D">
        <w:rPr>
          <w:color w:val="262626" w:themeColor="text1" w:themeTint="D9"/>
        </w:rPr>
        <w:fldChar w:fldCharType="separate"/>
      </w:r>
      <w:r w:rsidR="007D6C7C">
        <w:rPr>
          <w:noProof/>
          <w:color w:val="262626" w:themeColor="text1" w:themeTint="D9"/>
        </w:rPr>
        <w:t>7</w:t>
      </w:r>
      <w:r w:rsidR="007E2F79" w:rsidRPr="00081B7D">
        <w:rPr>
          <w:color w:val="262626" w:themeColor="text1" w:themeTint="D9"/>
        </w:rPr>
        <w:fldChar w:fldCharType="end"/>
      </w:r>
      <w:r w:rsidRPr="00081B7D">
        <w:rPr>
          <w:color w:val="262626" w:themeColor="text1" w:themeTint="D9"/>
        </w:rPr>
        <w:t xml:space="preserve"> Activité face au risque</w:t>
      </w:r>
      <w:bookmarkEnd w:id="33"/>
    </w:p>
    <w:p w:rsidR="005D635F" w:rsidRPr="00081B7D" w:rsidRDefault="005D635F" w:rsidP="001541A6">
      <w:pPr>
        <w:pStyle w:val="Standard"/>
      </w:pPr>
      <w:r w:rsidRPr="00081B7D">
        <w:t xml:space="preserve">Les erreurs de valorisation </w:t>
      </w:r>
      <w:r w:rsidR="00C45ACD" w:rsidRPr="00081B7D">
        <w:t>sur le</w:t>
      </w:r>
      <w:r w:rsidRPr="00081B7D">
        <w:t xml:space="preserve"> portefeuille arrivent assez souvent, et doivent être dépistés vite.</w:t>
      </w:r>
      <w:r w:rsidR="00C45ACD" w:rsidRPr="00081B7D">
        <w:t xml:space="preserve"> L’erreur peut venir principalement d’une mauvais </w:t>
      </w:r>
      <w:proofErr w:type="spellStart"/>
      <w:r w:rsidR="00C45ACD" w:rsidRPr="00081B7D">
        <w:t>booking</w:t>
      </w:r>
      <w:proofErr w:type="spellEnd"/>
      <w:r w:rsidR="00C45ACD" w:rsidRPr="00081B7D">
        <w:t xml:space="preserve"> du côté MO ou FO, d’un mauvais </w:t>
      </w:r>
      <w:proofErr w:type="spellStart"/>
      <w:r w:rsidR="00C45ACD" w:rsidRPr="00081B7D">
        <w:t>pricing</w:t>
      </w:r>
      <w:proofErr w:type="spellEnd"/>
      <w:r w:rsidR="00C45ACD" w:rsidRPr="00081B7D">
        <w:t xml:space="preserve">, d’un mauvais </w:t>
      </w:r>
      <w:r w:rsidR="00DD586D" w:rsidRPr="00081B7D">
        <w:t>paramétrage</w:t>
      </w:r>
      <w:r w:rsidR="00C45ACD" w:rsidRPr="00081B7D">
        <w:t xml:space="preserve"> ou simplement d’un portefeuille de composition différente</w:t>
      </w:r>
      <w:proofErr w:type="gramStart"/>
      <w:r w:rsidR="00C45ACD" w:rsidRPr="00081B7D">
        <w:t>..</w:t>
      </w:r>
      <w:proofErr w:type="gramEnd"/>
    </w:p>
    <w:p w:rsidR="005D635F" w:rsidRPr="00081B7D" w:rsidRDefault="005D635F" w:rsidP="001541A6">
      <w:pPr>
        <w:pStyle w:val="Standard"/>
      </w:pPr>
      <w:r w:rsidRPr="00081B7D">
        <w:t xml:space="preserve">Dans toutes ces opérations on est forcément tout le temps en contact avec le client, le trader et le Back Office. Nous sommes aussi </w:t>
      </w:r>
      <w:r w:rsidR="006E22CD" w:rsidRPr="00081B7D">
        <w:t>responsables</w:t>
      </w:r>
      <w:r w:rsidRPr="00081B7D">
        <w:t xml:space="preserve"> du bon déroulement des opérations.</w:t>
      </w:r>
    </w:p>
    <w:p w:rsidR="005D635F" w:rsidRPr="00081B7D" w:rsidRDefault="005D635F" w:rsidP="001541A6">
      <w:pPr>
        <w:pStyle w:val="Standard"/>
      </w:pPr>
      <w:r w:rsidRPr="00081B7D">
        <w:t>C’est pour cette raison qu’une am</w:t>
      </w:r>
      <w:r w:rsidR="00CB0315" w:rsidRPr="00081B7D">
        <w:t xml:space="preserve">élioration continue des processus </w:t>
      </w:r>
      <w:r w:rsidRPr="00081B7D">
        <w:t xml:space="preserve">s’impose. </w:t>
      </w:r>
      <w:r w:rsidR="006E22CD" w:rsidRPr="00081B7D">
        <w:t>C</w:t>
      </w:r>
      <w:r w:rsidRPr="00081B7D">
        <w:t>ertains</w:t>
      </w:r>
      <w:r w:rsidR="006E22CD" w:rsidRPr="00081B7D">
        <w:t xml:space="preserve"> </w:t>
      </w:r>
      <w:r w:rsidRPr="00081B7D">
        <w:t xml:space="preserve">sont fastidieux et </w:t>
      </w:r>
      <w:r w:rsidR="00CB0315" w:rsidRPr="00081B7D">
        <w:t>ainsi j’ai intervenu</w:t>
      </w:r>
      <w:r w:rsidRPr="00081B7D">
        <w:t xml:space="preserve"> pour la mise au point de macros </w:t>
      </w:r>
      <w:r w:rsidR="004B08B5" w:rsidRPr="00081B7D">
        <w:rPr>
          <w:color w:val="262626" w:themeColor="text1" w:themeTint="D9"/>
        </w:rPr>
        <w:t>VBA</w:t>
      </w:r>
      <w:r w:rsidRPr="00081B7D">
        <w:t xml:space="preserve"> qui les simplifient</w:t>
      </w:r>
      <w:r w:rsidR="006E22CD" w:rsidRPr="00081B7D">
        <w:t xml:space="preserve"> </w:t>
      </w:r>
      <w:r w:rsidRPr="00081B7D">
        <w:t>considérablement, minimisant ainsi les risques opérationnels, et nous permettant</w:t>
      </w:r>
      <w:r w:rsidR="006E22CD" w:rsidRPr="00081B7D">
        <w:t xml:space="preserve"> </w:t>
      </w:r>
      <w:r w:rsidRPr="00081B7D">
        <w:t>de nous concentrer sur les problèmes de fond.</w:t>
      </w:r>
    </w:p>
    <w:p w:rsidR="00C8696E" w:rsidRPr="00081B7D" w:rsidRDefault="00C8696E" w:rsidP="005D635F">
      <w:pPr>
        <w:pStyle w:val="Heading2"/>
      </w:pPr>
      <w:bookmarkStart w:id="34" w:name="_Toc494147802"/>
      <w:r w:rsidRPr="00081B7D">
        <w:t>Macro de calcul d’appel de marge face à la chambre de compensation</w:t>
      </w:r>
      <w:bookmarkEnd w:id="34"/>
    </w:p>
    <w:p w:rsidR="00CB0315" w:rsidRPr="00081B7D" w:rsidRDefault="00BD3F46" w:rsidP="001541A6">
      <w:pPr>
        <w:pStyle w:val="Standard"/>
      </w:pPr>
      <w:r w:rsidRPr="00081B7D">
        <w:t xml:space="preserve">Sur ce processus, la Société Générale reçoit </w:t>
      </w:r>
      <w:r w:rsidR="00CE7FAD" w:rsidRPr="00081B7D">
        <w:t xml:space="preserve">deux fichiers </w:t>
      </w:r>
      <w:r w:rsidR="000668E3" w:rsidRPr="00081B7D">
        <w:t xml:space="preserve">chaque jour </w:t>
      </w:r>
      <w:r w:rsidR="00CE7FAD" w:rsidRPr="00081B7D">
        <w:t xml:space="preserve">de la part de la chambre de Compensation. </w:t>
      </w:r>
      <w:r w:rsidR="000668E3" w:rsidRPr="00081B7D">
        <w:t xml:space="preserve">Un pour la </w:t>
      </w:r>
      <w:r w:rsidR="000668E3" w:rsidRPr="00081B7D">
        <w:rPr>
          <w:b/>
        </w:rPr>
        <w:t xml:space="preserve">Variation </w:t>
      </w:r>
      <w:proofErr w:type="spellStart"/>
      <w:r w:rsidR="000668E3" w:rsidRPr="00081B7D">
        <w:rPr>
          <w:b/>
        </w:rPr>
        <w:t>Margin</w:t>
      </w:r>
      <w:proofErr w:type="spellEnd"/>
      <w:r w:rsidR="000668E3" w:rsidRPr="00081B7D">
        <w:t xml:space="preserve"> et un autre pour le </w:t>
      </w:r>
      <w:proofErr w:type="spellStart"/>
      <w:r w:rsidR="000668E3" w:rsidRPr="00081B7D">
        <w:rPr>
          <w:b/>
        </w:rPr>
        <w:t>Margin</w:t>
      </w:r>
      <w:proofErr w:type="spellEnd"/>
      <w:r w:rsidR="000668E3" w:rsidRPr="00081B7D">
        <w:rPr>
          <w:b/>
        </w:rPr>
        <w:t xml:space="preserve"> Call</w:t>
      </w:r>
      <w:r w:rsidR="000668E3" w:rsidRPr="00081B7D">
        <w:t xml:space="preserve"> ou appel de marge.</w:t>
      </w:r>
    </w:p>
    <w:p w:rsidR="000668E3" w:rsidRPr="00081B7D" w:rsidRDefault="000668E3" w:rsidP="001541A6">
      <w:pPr>
        <w:pStyle w:val="Standard"/>
      </w:pPr>
      <w:r w:rsidRPr="00081B7D">
        <w:t>Avant mon arrivée, on utilisait plusieurs macro</w:t>
      </w:r>
      <w:r w:rsidR="00DD586D">
        <w:t>s</w:t>
      </w:r>
      <w:r w:rsidRPr="00081B7D">
        <w:t xml:space="preserve">, et un processus long sur plusieurs étapes, pour le calcul et la vérification de l’appel de marge quotidien divisé en IM et en VM. Le processus en entier prenait jusqu’à dix minutes à effectuer. </w:t>
      </w:r>
      <w:r w:rsidR="0069611E" w:rsidRPr="00081B7D">
        <w:t xml:space="preserve">La CCP a décidé à un moment, pour des raisons de </w:t>
      </w:r>
      <w:r w:rsidR="0069611E" w:rsidRPr="00081B7D">
        <w:lastRenderedPageBreak/>
        <w:t>sécurité des informations de crypter l’un des fichiers envoyés. Le défi a été de réussir à élaborer une macro, qui décrypte tout d’abord le fichier puis extrait les données, et regroupe les deux ancien</w:t>
      </w:r>
      <w:r w:rsidR="000E34F4" w:rsidRPr="00081B7D">
        <w:t xml:space="preserve">nes macros, et ce dans un minimum de temps car le processus devenait fastidieux. </w:t>
      </w:r>
    </w:p>
    <w:p w:rsidR="00F41F72" w:rsidRPr="00081B7D" w:rsidRDefault="000E34F4" w:rsidP="001541A6">
      <w:pPr>
        <w:pStyle w:val="Standard"/>
        <w:rPr>
          <w:noProof/>
          <w:lang w:eastAsia="fr-FR"/>
        </w:rPr>
      </w:pPr>
      <w:r w:rsidRPr="00081B7D">
        <w:t xml:space="preserve">La capture ci-dessous représente la  page d’accueil ‘Main </w:t>
      </w:r>
      <w:proofErr w:type="spellStart"/>
      <w:r w:rsidRPr="00081B7D">
        <w:t>Execution</w:t>
      </w:r>
      <w:proofErr w:type="spellEnd"/>
      <w:r w:rsidRPr="00081B7D">
        <w:t xml:space="preserve">’ de </w:t>
      </w:r>
      <w:r w:rsidR="00F41F72" w:rsidRPr="00081B7D">
        <w:t>la</w:t>
      </w:r>
      <w:r w:rsidRPr="00081B7D">
        <w:t xml:space="preserve"> macro.</w:t>
      </w:r>
    </w:p>
    <w:p w:rsidR="000E34F4" w:rsidRPr="00081B7D" w:rsidRDefault="00F41F72" w:rsidP="00081B7D">
      <w:pPr>
        <w:pStyle w:val="Standard"/>
        <w:ind w:firstLine="0"/>
        <w:jc w:val="center"/>
      </w:pPr>
      <w:r w:rsidRPr="00081B7D">
        <w:rPr>
          <w:noProof/>
          <w:lang w:eastAsia="fr-FR"/>
        </w:rPr>
        <w:drawing>
          <wp:inline distT="0" distB="0" distL="0" distR="0">
            <wp:extent cx="5760720" cy="3666715"/>
            <wp:effectExtent l="19050" t="0" r="0" b="0"/>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1" cstate="print"/>
                    <a:srcRect/>
                    <a:stretch>
                      <a:fillRect/>
                    </a:stretch>
                  </pic:blipFill>
                  <pic:spPr bwMode="auto">
                    <a:xfrm>
                      <a:off x="0" y="0"/>
                      <a:ext cx="5760720" cy="3666715"/>
                    </a:xfrm>
                    <a:prstGeom prst="rect">
                      <a:avLst/>
                    </a:prstGeom>
                    <a:noFill/>
                  </pic:spPr>
                </pic:pic>
              </a:graphicData>
            </a:graphic>
          </wp:inline>
        </w:drawing>
      </w:r>
    </w:p>
    <w:p w:rsidR="00F41F72" w:rsidRPr="00081B7D" w:rsidRDefault="00F41F72" w:rsidP="00081B7D">
      <w:pPr>
        <w:pStyle w:val="Caption"/>
        <w:jc w:val="center"/>
        <w:rPr>
          <w:color w:val="auto"/>
        </w:rPr>
      </w:pPr>
      <w:bookmarkStart w:id="35" w:name="_Toc494147818"/>
      <w:r w:rsidRPr="00081B7D">
        <w:rPr>
          <w:color w:val="auto"/>
        </w:rPr>
        <w:t xml:space="preserve">Figure </w:t>
      </w:r>
      <w:r w:rsidR="007E2F79" w:rsidRPr="00081B7D">
        <w:rPr>
          <w:color w:val="auto"/>
        </w:rPr>
        <w:fldChar w:fldCharType="begin"/>
      </w:r>
      <w:r w:rsidRPr="00081B7D">
        <w:rPr>
          <w:color w:val="auto"/>
        </w:rPr>
        <w:instrText xml:space="preserve"> SEQ Figure \* ARABIC </w:instrText>
      </w:r>
      <w:r w:rsidR="007E2F79" w:rsidRPr="00081B7D">
        <w:rPr>
          <w:color w:val="auto"/>
        </w:rPr>
        <w:fldChar w:fldCharType="separate"/>
      </w:r>
      <w:r w:rsidR="007D6C7C">
        <w:rPr>
          <w:noProof/>
          <w:color w:val="auto"/>
        </w:rPr>
        <w:t>8</w:t>
      </w:r>
      <w:r w:rsidR="007E2F79" w:rsidRPr="00081B7D">
        <w:rPr>
          <w:color w:val="auto"/>
        </w:rPr>
        <w:fldChar w:fldCharType="end"/>
      </w:r>
      <w:r w:rsidRPr="00081B7D">
        <w:rPr>
          <w:color w:val="auto"/>
        </w:rPr>
        <w:t xml:space="preserve"> Interface de la macro de la CCP</w:t>
      </w:r>
      <w:bookmarkEnd w:id="35"/>
    </w:p>
    <w:p w:rsidR="00F41F72" w:rsidRPr="00081B7D" w:rsidRDefault="00F41F72" w:rsidP="001541A6">
      <w:pPr>
        <w:pStyle w:val="Standard"/>
      </w:pPr>
    </w:p>
    <w:p w:rsidR="00F41F72" w:rsidRPr="00081B7D" w:rsidRDefault="00F41F72" w:rsidP="001541A6">
      <w:pPr>
        <w:pStyle w:val="Standard"/>
      </w:pPr>
    </w:p>
    <w:p w:rsidR="000E34F4" w:rsidRPr="00081B7D" w:rsidRDefault="000E34F4" w:rsidP="001541A6">
      <w:pPr>
        <w:pStyle w:val="Standard"/>
      </w:pPr>
      <w:r w:rsidRPr="00081B7D">
        <w:t>Après renseignement du chemin des deux fichiers téléchargés sur la plateforme, des boutons pour décrypter et mettre en forme le fichier pour exécuter le processus. Un mail est aussi envoyé en automatique, Des manipulations et des analyses et vérification intermédiaires sont à effectuer.  Le processus en totalité</w:t>
      </w:r>
      <w:r w:rsidR="00D44269" w:rsidRPr="00081B7D">
        <w:t xml:space="preserve"> maintenant</w:t>
      </w:r>
      <w:r w:rsidRPr="00081B7D">
        <w:t xml:space="preserve"> prend deux minutes</w:t>
      </w:r>
      <w:r w:rsidR="00D44269" w:rsidRPr="00081B7D">
        <w:t>, et le risque d’erreur là-dessus est minimisé.</w:t>
      </w:r>
    </w:p>
    <w:p w:rsidR="00950565" w:rsidRPr="00081B7D" w:rsidRDefault="00950565">
      <w:pPr>
        <w:ind w:left="0"/>
      </w:pPr>
      <w:r w:rsidRPr="00081B7D">
        <w:br w:type="page"/>
      </w:r>
    </w:p>
    <w:p w:rsidR="00F41F72" w:rsidRPr="00081B7D" w:rsidRDefault="00D44269" w:rsidP="00950565">
      <w:pPr>
        <w:pStyle w:val="Standard"/>
      </w:pPr>
      <w:r w:rsidRPr="00081B7D">
        <w:lastRenderedPageBreak/>
        <w:t>Ce</w:t>
      </w:r>
      <w:r w:rsidR="009F0C27" w:rsidRPr="00081B7D">
        <w:t>t</w:t>
      </w:r>
      <w:r w:rsidRPr="00081B7D">
        <w:t xml:space="preserve">te interface est obtenue en cliquant sur le bouton </w:t>
      </w:r>
      <w:r w:rsidR="009F0C27" w:rsidRPr="00081B7D">
        <w:t>‘</w:t>
      </w:r>
      <w:r w:rsidRPr="00081B7D">
        <w:t xml:space="preserve">Split </w:t>
      </w:r>
      <w:proofErr w:type="spellStart"/>
      <w:r w:rsidRPr="00081B7D">
        <w:t>Calculation</w:t>
      </w:r>
      <w:proofErr w:type="spellEnd"/>
      <w:r w:rsidR="009F0C27" w:rsidRPr="00081B7D">
        <w:t>’</w:t>
      </w:r>
      <w:r w:rsidRPr="00081B7D">
        <w:t xml:space="preserve">. </w:t>
      </w:r>
      <w:r w:rsidR="009F0C27" w:rsidRPr="00081B7D">
        <w:t xml:space="preserve">Elle permet de </w:t>
      </w:r>
      <w:proofErr w:type="spellStart"/>
      <w:r w:rsidR="009F0C27" w:rsidRPr="00081B7D">
        <w:t>historiser</w:t>
      </w:r>
      <w:proofErr w:type="spellEnd"/>
      <w:r w:rsidR="009F0C27" w:rsidRPr="00081B7D">
        <w:t xml:space="preserve"> le fichier de la veille, et de déterminer le total à échanger, vérifie les différences, et les montants à échanger sur chacun des portefeuilles IM et VM. La somme représente la totale à échanger sur une journée. </w:t>
      </w:r>
    </w:p>
    <w:p w:rsidR="00626979" w:rsidRPr="00081B7D" w:rsidRDefault="00F41F72" w:rsidP="00081B7D">
      <w:pPr>
        <w:pStyle w:val="Standard"/>
        <w:ind w:left="-142" w:firstLine="0"/>
      </w:pPr>
      <w:r w:rsidRPr="00081B7D">
        <w:rPr>
          <w:noProof/>
          <w:lang w:eastAsia="fr-FR"/>
        </w:rPr>
        <w:drawing>
          <wp:inline distT="0" distB="0" distL="0" distR="0">
            <wp:extent cx="6095315" cy="3907971"/>
            <wp:effectExtent l="19050" t="0" r="685" b="0"/>
            <wp:docPr id="24" name="Picture 1" descr="E:\rapport tesnim\image012.png"/>
            <wp:cNvGraphicFramePr/>
            <a:graphic xmlns:a="http://schemas.openxmlformats.org/drawingml/2006/main">
              <a:graphicData uri="http://schemas.openxmlformats.org/drawingml/2006/picture">
                <pic:pic xmlns:pic="http://schemas.openxmlformats.org/drawingml/2006/picture">
                  <pic:nvPicPr>
                    <pic:cNvPr id="1026" name="Picture 2" descr="E:\rapport tesnim\image012.png"/>
                    <pic:cNvPicPr>
                      <a:picLocks noChangeAspect="1" noChangeArrowheads="1"/>
                    </pic:cNvPicPr>
                  </pic:nvPicPr>
                  <pic:blipFill>
                    <a:blip r:embed="rId72" cstate="print"/>
                    <a:srcRect/>
                    <a:stretch>
                      <a:fillRect/>
                    </a:stretch>
                  </pic:blipFill>
                  <pic:spPr bwMode="auto">
                    <a:xfrm>
                      <a:off x="0" y="0"/>
                      <a:ext cx="6095464" cy="3908066"/>
                    </a:xfrm>
                    <a:prstGeom prst="rect">
                      <a:avLst/>
                    </a:prstGeom>
                    <a:noFill/>
                  </pic:spPr>
                </pic:pic>
              </a:graphicData>
            </a:graphic>
          </wp:inline>
        </w:drawing>
      </w:r>
    </w:p>
    <w:p w:rsidR="00F41F72" w:rsidRPr="00081B7D" w:rsidRDefault="00F41F72" w:rsidP="00F41F72">
      <w:pPr>
        <w:pStyle w:val="Caption"/>
        <w:jc w:val="center"/>
        <w:rPr>
          <w:color w:val="auto"/>
        </w:rPr>
      </w:pPr>
      <w:bookmarkStart w:id="36" w:name="_Toc494147819"/>
      <w:r w:rsidRPr="00081B7D">
        <w:rPr>
          <w:color w:val="auto"/>
        </w:rPr>
        <w:t xml:space="preserve">Figure </w:t>
      </w:r>
      <w:r w:rsidR="007E2F79" w:rsidRPr="00081B7D">
        <w:rPr>
          <w:color w:val="auto"/>
        </w:rPr>
        <w:fldChar w:fldCharType="begin"/>
      </w:r>
      <w:r w:rsidRPr="00081B7D">
        <w:rPr>
          <w:color w:val="auto"/>
        </w:rPr>
        <w:instrText xml:space="preserve"> SEQ Figure \* ARABIC </w:instrText>
      </w:r>
      <w:r w:rsidR="007E2F79" w:rsidRPr="00081B7D">
        <w:rPr>
          <w:color w:val="auto"/>
        </w:rPr>
        <w:fldChar w:fldCharType="separate"/>
      </w:r>
      <w:r w:rsidR="007D6C7C">
        <w:rPr>
          <w:noProof/>
          <w:color w:val="auto"/>
        </w:rPr>
        <w:t>9</w:t>
      </w:r>
      <w:r w:rsidR="007E2F79" w:rsidRPr="00081B7D">
        <w:rPr>
          <w:color w:val="auto"/>
        </w:rPr>
        <w:fldChar w:fldCharType="end"/>
      </w:r>
      <w:r w:rsidRPr="00081B7D">
        <w:rPr>
          <w:color w:val="auto"/>
        </w:rPr>
        <w:t xml:space="preserve"> Interface de calcul des VM et IM</w:t>
      </w:r>
      <w:bookmarkEnd w:id="36"/>
    </w:p>
    <w:p w:rsidR="00F41F72" w:rsidRPr="00081B7D" w:rsidRDefault="00F41F72" w:rsidP="001541A6">
      <w:pPr>
        <w:pStyle w:val="Standard"/>
      </w:pPr>
    </w:p>
    <w:p w:rsidR="001541A6" w:rsidRPr="00081B7D" w:rsidRDefault="009F0C27" w:rsidP="001541A6">
      <w:pPr>
        <w:pStyle w:val="Standard"/>
      </w:pPr>
      <w:r w:rsidRPr="00081B7D">
        <w:t xml:space="preserve">Cette macro a été un véritable défi à relever, ou je devais faire preuve de réactivité car j’étais face à une deadline assez courte,  d’esprit d’analyse pour savoir si les résultats observés sont les bons, et de assimilation de codes anciens existants à </w:t>
      </w:r>
      <w:r w:rsidR="001541A6" w:rsidRPr="00081B7D">
        <w:t>intégrer</w:t>
      </w:r>
      <w:r w:rsidRPr="00081B7D">
        <w:t xml:space="preserve"> qui n’est pas une chose évidente, et puis d’innovation et d’initiative, pour trouver des solutions à un </w:t>
      </w:r>
      <w:r w:rsidR="00744FCB" w:rsidRPr="00081B7D">
        <w:t xml:space="preserve">nouveau problème </w:t>
      </w:r>
      <w:r w:rsidRPr="00081B7D">
        <w:t xml:space="preserve">notamment </w:t>
      </w:r>
      <w:r w:rsidR="00744FCB" w:rsidRPr="00081B7D">
        <w:t>le décryptage des données.</w:t>
      </w:r>
    </w:p>
    <w:p w:rsidR="009F0C27" w:rsidRPr="00081B7D" w:rsidRDefault="001541A6" w:rsidP="001541A6">
      <w:pPr>
        <w:ind w:left="0"/>
        <w:rPr>
          <w:rFonts w:asciiTheme="majorHAnsi" w:hAnsiTheme="majorHAnsi"/>
          <w:sz w:val="28"/>
        </w:rPr>
      </w:pPr>
      <w:r w:rsidRPr="00081B7D">
        <w:br w:type="page"/>
      </w:r>
    </w:p>
    <w:p w:rsidR="00626979" w:rsidRPr="00081B7D" w:rsidRDefault="00626979" w:rsidP="00626979">
      <w:pPr>
        <w:pStyle w:val="Heading2"/>
      </w:pPr>
      <w:bookmarkStart w:id="37" w:name="_Toc494147803"/>
      <w:r w:rsidRPr="00081B7D">
        <w:lastRenderedPageBreak/>
        <w:t xml:space="preserve">Macros </w:t>
      </w:r>
      <w:r w:rsidR="00F41F72" w:rsidRPr="00081B7D">
        <w:t>d’appel de marge</w:t>
      </w:r>
      <w:r w:rsidRPr="00081B7D">
        <w:t xml:space="preserve"> </w:t>
      </w:r>
      <w:r w:rsidR="00081B7D" w:rsidRPr="00081B7D">
        <w:t>face aux clients</w:t>
      </w:r>
      <w:bookmarkEnd w:id="37"/>
    </w:p>
    <w:p w:rsidR="00FC1505" w:rsidRPr="00081B7D" w:rsidRDefault="00FC1505" w:rsidP="00FC1505">
      <w:pPr>
        <w:pStyle w:val="Standard"/>
      </w:pPr>
      <w:r w:rsidRPr="00081B7D">
        <w:t xml:space="preserve">Les macros </w:t>
      </w:r>
      <w:r w:rsidR="00F41F72" w:rsidRPr="00081B7D">
        <w:t>d’appels de marge</w:t>
      </w:r>
      <w:r w:rsidRPr="00081B7D">
        <w:t xml:space="preserve"> ont été un travail continu sur plusieurs années, par différents membres de l’équipe. Ici aussi, une modification de processus interne au sein de la Société Générale a fait qu’on ait besoin de modifier complètement les anciennes macros. Les sources de données, et l’accès à celles-ci. Avant, il fallait charger les données manuellement, et les macros d’appels de marge et de </w:t>
      </w:r>
      <w:proofErr w:type="spellStart"/>
      <w:r w:rsidRPr="00081B7D">
        <w:t>booking</w:t>
      </w:r>
      <w:proofErr w:type="spellEnd"/>
      <w:r w:rsidRPr="00081B7D">
        <w:t xml:space="preserve"> étaient complètement séparés</w:t>
      </w:r>
      <w:r w:rsidR="00E545BE" w:rsidRPr="00081B7D">
        <w:t>, pour chacune des contreparties. On se retrouvait avec cinq fichiers différents. Là aussi le risque d’erreur opérationnelle était élevé. L’accès à des données anciennes aussi n’était  pas possible. Il existe des différences entre les clients, car le format des fichiers et le processus d’échange avec chacun était différent. Une macro par client était la solution la plus sure, pour la sécurité des données, e</w:t>
      </w:r>
      <w:r w:rsidR="00F41F72" w:rsidRPr="00081B7D">
        <w:t>t la plus ergonomique pour l’équipe.</w:t>
      </w:r>
    </w:p>
    <w:p w:rsidR="001541A6" w:rsidRPr="00081B7D" w:rsidRDefault="00E17C85" w:rsidP="00FC1505">
      <w:pPr>
        <w:pStyle w:val="Heading3"/>
        <w:rPr>
          <w:lang w:val="fr-FR"/>
        </w:rPr>
      </w:pPr>
      <w:bookmarkStart w:id="38" w:name="_Toc494147804"/>
      <w:r w:rsidRPr="00081B7D">
        <w:rPr>
          <w:lang w:val="fr-FR"/>
        </w:rPr>
        <w:t>Onglet de réponse et d’appel de marge</w:t>
      </w:r>
      <w:bookmarkEnd w:id="38"/>
    </w:p>
    <w:p w:rsidR="00FC1505" w:rsidRPr="00081B7D" w:rsidRDefault="00744FCB" w:rsidP="00E545BE">
      <w:pPr>
        <w:pStyle w:val="Standard"/>
      </w:pPr>
      <w:r w:rsidRPr="00081B7D">
        <w:t>Dans l’</w:t>
      </w:r>
      <w:r w:rsidR="00950565" w:rsidRPr="00081B7D">
        <w:t>onglet principal de la première macro</w:t>
      </w:r>
      <w:r w:rsidRPr="00081B7D">
        <w:t xml:space="preserve">, on insère l’appel de marge envoyé par le client, sur les transactions qu’il voit en sa faveur. </w:t>
      </w:r>
    </w:p>
    <w:p w:rsidR="00744FCB" w:rsidRDefault="00744FCB" w:rsidP="00E545BE">
      <w:pPr>
        <w:pStyle w:val="Standard"/>
      </w:pPr>
      <w:r w:rsidRPr="00081B7D">
        <w:t>Le tableau envoyé par le client contient les informations suivantes :</w:t>
      </w:r>
    </w:p>
    <w:p w:rsidR="000E7451" w:rsidRPr="00081B7D" w:rsidRDefault="000E7451" w:rsidP="00E545BE">
      <w:pPr>
        <w:pStyle w:val="Standard"/>
      </w:pPr>
    </w:p>
    <w:tbl>
      <w:tblPr>
        <w:tblStyle w:val="LightShading1"/>
        <w:tblW w:w="0" w:type="auto"/>
        <w:jc w:val="center"/>
        <w:tblLook w:val="04A0"/>
      </w:tblPr>
      <w:tblGrid>
        <w:gridCol w:w="1144"/>
        <w:gridCol w:w="1447"/>
        <w:gridCol w:w="1896"/>
        <w:gridCol w:w="1384"/>
      </w:tblGrid>
      <w:tr w:rsidR="00744FCB" w:rsidRPr="000E7451" w:rsidTr="004B27D4">
        <w:trPr>
          <w:cnfStyle w:val="100000000000"/>
          <w:jc w:val="center"/>
        </w:trPr>
        <w:tc>
          <w:tcPr>
            <w:cnfStyle w:val="001000000000"/>
            <w:tcW w:w="1144" w:type="dxa"/>
          </w:tcPr>
          <w:p w:rsidR="00744FCB" w:rsidRPr="000E7451" w:rsidRDefault="00744FCB" w:rsidP="00E545BE">
            <w:pPr>
              <w:pStyle w:val="Standard"/>
              <w:ind w:firstLine="0"/>
              <w:rPr>
                <w:rFonts w:asciiTheme="minorHAnsi" w:hAnsiTheme="minorHAnsi"/>
                <w:b w:val="0"/>
                <w:color w:val="auto"/>
                <w:sz w:val="24"/>
              </w:rPr>
            </w:pPr>
            <w:r w:rsidRPr="000E7451">
              <w:rPr>
                <w:rFonts w:asciiTheme="minorHAnsi" w:hAnsiTheme="minorHAnsi"/>
                <w:b w:val="0"/>
                <w:color w:val="auto"/>
                <w:sz w:val="24"/>
              </w:rPr>
              <w:t>Action</w:t>
            </w:r>
          </w:p>
        </w:tc>
        <w:tc>
          <w:tcPr>
            <w:tcW w:w="1447" w:type="dxa"/>
          </w:tcPr>
          <w:p w:rsidR="00744FCB" w:rsidRPr="000E7451" w:rsidRDefault="00744FCB" w:rsidP="00E545BE">
            <w:pPr>
              <w:pStyle w:val="Standard"/>
              <w:ind w:firstLine="0"/>
              <w:cnfStyle w:val="100000000000"/>
              <w:rPr>
                <w:rFonts w:asciiTheme="minorHAnsi" w:hAnsiTheme="minorHAnsi"/>
                <w:b w:val="0"/>
                <w:color w:val="auto"/>
                <w:sz w:val="24"/>
              </w:rPr>
            </w:pPr>
            <w:r w:rsidRPr="000E7451">
              <w:rPr>
                <w:rFonts w:asciiTheme="minorHAnsi" w:hAnsiTheme="minorHAnsi"/>
                <w:b w:val="0"/>
                <w:color w:val="auto"/>
                <w:sz w:val="24"/>
              </w:rPr>
              <w:t>Principal</w:t>
            </w:r>
          </w:p>
        </w:tc>
        <w:tc>
          <w:tcPr>
            <w:tcW w:w="1896" w:type="dxa"/>
          </w:tcPr>
          <w:p w:rsidR="00744FCB" w:rsidRPr="000E7451" w:rsidRDefault="00744FCB" w:rsidP="00E545BE">
            <w:pPr>
              <w:pStyle w:val="Standard"/>
              <w:ind w:firstLine="0"/>
              <w:cnfStyle w:val="100000000000"/>
              <w:rPr>
                <w:rFonts w:asciiTheme="minorHAnsi" w:hAnsiTheme="minorHAnsi"/>
                <w:b w:val="0"/>
                <w:color w:val="auto"/>
                <w:sz w:val="24"/>
              </w:rPr>
            </w:pPr>
            <w:r w:rsidRPr="000E7451">
              <w:rPr>
                <w:rFonts w:asciiTheme="minorHAnsi" w:hAnsiTheme="minorHAnsi"/>
                <w:b w:val="0"/>
                <w:color w:val="auto"/>
                <w:sz w:val="24"/>
              </w:rPr>
              <w:t>Contrepartie</w:t>
            </w:r>
          </w:p>
        </w:tc>
        <w:tc>
          <w:tcPr>
            <w:tcW w:w="1384" w:type="dxa"/>
          </w:tcPr>
          <w:p w:rsidR="00744FCB" w:rsidRPr="000E7451" w:rsidRDefault="00744FCB" w:rsidP="00E545BE">
            <w:pPr>
              <w:pStyle w:val="Standard"/>
              <w:ind w:firstLine="0"/>
              <w:cnfStyle w:val="100000000000"/>
              <w:rPr>
                <w:rFonts w:asciiTheme="minorHAnsi" w:hAnsiTheme="minorHAnsi"/>
                <w:b w:val="0"/>
                <w:color w:val="auto"/>
                <w:sz w:val="24"/>
              </w:rPr>
            </w:pPr>
            <w:r w:rsidRPr="000E7451">
              <w:rPr>
                <w:rFonts w:asciiTheme="minorHAnsi" w:hAnsiTheme="minorHAnsi"/>
                <w:b w:val="0"/>
                <w:color w:val="auto"/>
                <w:sz w:val="24"/>
              </w:rPr>
              <w:t>Montant</w:t>
            </w:r>
          </w:p>
        </w:tc>
      </w:tr>
      <w:tr w:rsidR="00744FCB" w:rsidRPr="000E7451" w:rsidTr="000E7451">
        <w:trPr>
          <w:cnfStyle w:val="000000100000"/>
          <w:jc w:val="center"/>
        </w:trPr>
        <w:tc>
          <w:tcPr>
            <w:cnfStyle w:val="001000000000"/>
            <w:tcW w:w="1144" w:type="dxa"/>
            <w:shd w:val="clear" w:color="auto" w:fill="F2F2F2" w:themeFill="background1" w:themeFillShade="F2"/>
          </w:tcPr>
          <w:p w:rsidR="00744FCB" w:rsidRPr="000E7451" w:rsidRDefault="004B27D4" w:rsidP="00E545BE">
            <w:pPr>
              <w:pStyle w:val="Standard"/>
              <w:ind w:firstLine="0"/>
              <w:rPr>
                <w:rFonts w:asciiTheme="minorHAnsi" w:hAnsiTheme="minorHAnsi"/>
                <w:b w:val="0"/>
                <w:color w:val="auto"/>
                <w:sz w:val="24"/>
              </w:rPr>
            </w:pPr>
            <w:proofErr w:type="spellStart"/>
            <w:r w:rsidRPr="000E7451">
              <w:rPr>
                <w:rFonts w:asciiTheme="minorHAnsi" w:hAnsiTheme="minorHAnsi"/>
                <w:b w:val="0"/>
                <w:color w:val="auto"/>
                <w:sz w:val="24"/>
              </w:rPr>
              <w:t>Recall</w:t>
            </w:r>
            <w:proofErr w:type="spellEnd"/>
          </w:p>
        </w:tc>
        <w:tc>
          <w:tcPr>
            <w:tcW w:w="1447" w:type="dxa"/>
            <w:shd w:val="clear" w:color="auto" w:fill="F2F2F2" w:themeFill="background1" w:themeFillShade="F2"/>
          </w:tcPr>
          <w:p w:rsidR="00744FCB" w:rsidRPr="000E7451" w:rsidRDefault="004B27D4" w:rsidP="00E545BE">
            <w:pPr>
              <w:pStyle w:val="Standard"/>
              <w:ind w:firstLine="0"/>
              <w:cnfStyle w:val="000000100000"/>
              <w:rPr>
                <w:rFonts w:asciiTheme="minorHAnsi" w:hAnsiTheme="minorHAnsi"/>
                <w:color w:val="auto"/>
                <w:sz w:val="24"/>
              </w:rPr>
            </w:pPr>
            <w:proofErr w:type="spellStart"/>
            <w:r w:rsidRPr="000E7451">
              <w:rPr>
                <w:rFonts w:asciiTheme="minorHAnsi" w:hAnsiTheme="minorHAnsi"/>
                <w:color w:val="auto"/>
                <w:sz w:val="24"/>
              </w:rPr>
              <w:t>GBxxxxxxx</w:t>
            </w:r>
            <w:proofErr w:type="spellEnd"/>
          </w:p>
        </w:tc>
        <w:tc>
          <w:tcPr>
            <w:tcW w:w="1896" w:type="dxa"/>
            <w:shd w:val="clear" w:color="auto" w:fill="F2F2F2" w:themeFill="background1" w:themeFillShade="F2"/>
          </w:tcPr>
          <w:p w:rsidR="00744FCB" w:rsidRPr="000E7451" w:rsidRDefault="004B27D4" w:rsidP="00E545BE">
            <w:pPr>
              <w:pStyle w:val="Standard"/>
              <w:ind w:firstLine="0"/>
              <w:cnfStyle w:val="000000100000"/>
              <w:rPr>
                <w:rFonts w:asciiTheme="minorHAnsi" w:hAnsiTheme="minorHAnsi"/>
                <w:color w:val="auto"/>
                <w:sz w:val="24"/>
              </w:rPr>
            </w:pPr>
            <w:proofErr w:type="spellStart"/>
            <w:r w:rsidRPr="000E7451">
              <w:rPr>
                <w:rFonts w:asciiTheme="minorHAnsi" w:hAnsiTheme="minorHAnsi"/>
                <w:color w:val="auto"/>
                <w:sz w:val="24"/>
              </w:rPr>
              <w:t>FundName</w:t>
            </w:r>
            <w:proofErr w:type="spellEnd"/>
          </w:p>
        </w:tc>
        <w:tc>
          <w:tcPr>
            <w:tcW w:w="1384" w:type="dxa"/>
            <w:shd w:val="clear" w:color="auto" w:fill="F2F2F2" w:themeFill="background1" w:themeFillShade="F2"/>
          </w:tcPr>
          <w:p w:rsidR="00744FCB" w:rsidRPr="000E7451" w:rsidRDefault="004B27D4" w:rsidP="004B27D4">
            <w:pPr>
              <w:pStyle w:val="Standard"/>
              <w:ind w:firstLine="0"/>
              <w:cnfStyle w:val="000000100000"/>
              <w:rPr>
                <w:rFonts w:asciiTheme="minorHAnsi" w:hAnsiTheme="minorHAnsi"/>
                <w:color w:val="auto"/>
                <w:sz w:val="24"/>
              </w:rPr>
            </w:pPr>
            <w:proofErr w:type="spellStart"/>
            <w:r w:rsidRPr="000E7451">
              <w:rPr>
                <w:rFonts w:asciiTheme="minorHAnsi" w:hAnsiTheme="minorHAnsi"/>
                <w:color w:val="auto"/>
                <w:sz w:val="24"/>
              </w:rPr>
              <w:t>xxxGBP</w:t>
            </w:r>
            <w:proofErr w:type="spellEnd"/>
          </w:p>
        </w:tc>
      </w:tr>
    </w:tbl>
    <w:p w:rsidR="00744FCB" w:rsidRPr="00081B7D" w:rsidRDefault="00744FCB" w:rsidP="00E545BE">
      <w:pPr>
        <w:pStyle w:val="Standard"/>
      </w:pPr>
    </w:p>
    <w:p w:rsidR="004B27D4" w:rsidRPr="00081B7D" w:rsidRDefault="004B27D4" w:rsidP="00E545BE">
      <w:pPr>
        <w:pStyle w:val="Standard"/>
      </w:pPr>
      <w:r w:rsidRPr="00081B7D">
        <w:t xml:space="preserve">‘Action’ représente l’action à faire. Si sur un fond particulier, on possède du collatéral de la contrepartie, la contrepartie cherche à le récupérer en priorité. Dans ce cas on parle de </w:t>
      </w:r>
      <w:proofErr w:type="spellStart"/>
      <w:r w:rsidRPr="00081B7D">
        <w:t>Recall</w:t>
      </w:r>
      <w:proofErr w:type="spellEnd"/>
      <w:r w:rsidR="00011639" w:rsidRPr="00081B7D">
        <w:t>. Si nous n’avons rien à restituer la contrepartie demandera du collatéral de notre pool.</w:t>
      </w:r>
    </w:p>
    <w:p w:rsidR="00626979" w:rsidRPr="00081B7D" w:rsidRDefault="00626979" w:rsidP="00626979">
      <w:pPr>
        <w:ind w:left="-709"/>
      </w:pPr>
    </w:p>
    <w:p w:rsidR="00626979" w:rsidRPr="00081B7D" w:rsidRDefault="00744FCB" w:rsidP="00744FCB">
      <w:pPr>
        <w:pStyle w:val="Standard"/>
      </w:pPr>
      <w:r w:rsidRPr="00081B7D">
        <w:t>Il existe trois scénarios</w:t>
      </w:r>
      <w:r w:rsidR="00011639" w:rsidRPr="00081B7D">
        <w:t xml:space="preserve"> d’accord</w:t>
      </w:r>
      <w:r w:rsidRPr="00081B7D">
        <w:t xml:space="preserve"> possibles : </w:t>
      </w:r>
    </w:p>
    <w:p w:rsidR="00744FCB" w:rsidRPr="00081B7D" w:rsidRDefault="00744FCB" w:rsidP="008B6BE7">
      <w:pPr>
        <w:pStyle w:val="Standard"/>
        <w:numPr>
          <w:ilvl w:val="0"/>
          <w:numId w:val="2"/>
        </w:numPr>
      </w:pPr>
      <w:r w:rsidRPr="00081B7D">
        <w:t>La contrepartie voir l’appel de marge</w:t>
      </w:r>
      <w:r w:rsidR="004B27D4" w:rsidRPr="00081B7D">
        <w:t xml:space="preserve"> au dessus du seuil</w:t>
      </w:r>
      <w:r w:rsidRPr="00081B7D">
        <w:t xml:space="preserve"> en sa faveur et </w:t>
      </w:r>
      <w:r w:rsidR="004B27D4" w:rsidRPr="00081B7D">
        <w:t xml:space="preserve">nous on voit un montant égal ou supérieur. Dans ce cas, on lui donne du collatéral sous forme d’obligations éligibles, équivalent à cette somme, en tenant compte du </w:t>
      </w:r>
      <w:proofErr w:type="spellStart"/>
      <w:r w:rsidR="004B27D4" w:rsidRPr="00081B7D">
        <w:t>Haircut</w:t>
      </w:r>
      <w:proofErr w:type="spellEnd"/>
      <w:r w:rsidR="004B27D4" w:rsidRPr="00081B7D">
        <w:t xml:space="preserve">, et en rendant en priorité </w:t>
      </w:r>
      <w:r w:rsidR="004B27D4" w:rsidRPr="00081B7D">
        <w:lastRenderedPageBreak/>
        <w:t>le collatéral appartenant à la contrepartie.</w:t>
      </w:r>
      <w:r w:rsidR="00011639" w:rsidRPr="00081B7D">
        <w:t xml:space="preserve"> Dans ce cas on est en accord.</w:t>
      </w:r>
    </w:p>
    <w:p w:rsidR="00011639" w:rsidRPr="00081B7D" w:rsidRDefault="004B27D4" w:rsidP="008B6BE7">
      <w:pPr>
        <w:pStyle w:val="Standard"/>
        <w:numPr>
          <w:ilvl w:val="0"/>
          <w:numId w:val="2"/>
        </w:numPr>
      </w:pPr>
      <w:r w:rsidRPr="00081B7D">
        <w:t xml:space="preserve">Le deuxième scénario décrit le cas où La contrepartie voir l’appel de marge au dessus du seuil en sa faveur et nous on voit un montant inférieur. Dans ce cas, on lui accorde de la même manière seulement la somme que nous on observe. Si cette somme est </w:t>
      </w:r>
      <w:proofErr w:type="gramStart"/>
      <w:r w:rsidRPr="00081B7D">
        <w:t>inférieur</w:t>
      </w:r>
      <w:proofErr w:type="gramEnd"/>
      <w:r w:rsidRPr="00081B7D">
        <w:t xml:space="preserve"> au seuil sur ce fond, rien n’est à donner ou restituer. Si le montant de </w:t>
      </w:r>
      <w:r w:rsidR="00011639" w:rsidRPr="00081B7D">
        <w:t>désaccord est supérieur à 10%. On est en désaccord. Dans ce cas, nous procurons les détails de notre portefeuille à la contrepartie. Et c’est à elle de réconcilier les portefeuilles et déceler la source de ce désaccord. Nous sommes bien évidemment dans l’obligation de lui donner toute l’assistance nécessaire dans ce processus.</w:t>
      </w:r>
      <w:r w:rsidRPr="00081B7D">
        <w:t xml:space="preserve"> </w:t>
      </w:r>
    </w:p>
    <w:p w:rsidR="00744FCB" w:rsidRPr="00081B7D" w:rsidRDefault="00011639" w:rsidP="008B6BE7">
      <w:pPr>
        <w:pStyle w:val="Standard"/>
        <w:numPr>
          <w:ilvl w:val="0"/>
          <w:numId w:val="2"/>
        </w:numPr>
        <w:tabs>
          <w:tab w:val="left" w:pos="3119"/>
        </w:tabs>
      </w:pPr>
      <w:r w:rsidRPr="00081B7D">
        <w:t>Dans un troisième scénario, la contrepartie voit un appel de marge en sa faveur et nous on le voit en notre faveur. Dans ce cas un échange de portefeuilles est effectué. Et les deux contreparties vérifient et négocient pour se mettre d’accord ou trouver un compromis.  Le désaccord peut durer plusieurs jours et une enquête approfondie est nécessaire.</w:t>
      </w:r>
    </w:p>
    <w:p w:rsidR="0079773E" w:rsidRPr="00081B7D" w:rsidRDefault="00F41F72" w:rsidP="00DD586D">
      <w:pPr>
        <w:pStyle w:val="Standard"/>
        <w:keepNext/>
        <w:tabs>
          <w:tab w:val="left" w:pos="3119"/>
        </w:tabs>
        <w:ind w:left="142" w:firstLine="0"/>
        <w:jc w:val="left"/>
      </w:pPr>
      <w:r w:rsidRPr="00081B7D">
        <w:rPr>
          <w:noProof/>
          <w:lang w:eastAsia="fr-FR"/>
        </w:rPr>
        <w:drawing>
          <wp:inline distT="0" distB="0" distL="0" distR="0">
            <wp:extent cx="5615592" cy="3724275"/>
            <wp:effectExtent l="19050" t="0" r="4158" b="0"/>
            <wp:docPr id="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cstate="print"/>
                    <a:srcRect/>
                    <a:stretch>
                      <a:fillRect/>
                    </a:stretch>
                  </pic:blipFill>
                  <pic:spPr bwMode="auto">
                    <a:xfrm>
                      <a:off x="0" y="0"/>
                      <a:ext cx="5616270" cy="3724725"/>
                    </a:xfrm>
                    <a:prstGeom prst="rect">
                      <a:avLst/>
                    </a:prstGeom>
                    <a:noFill/>
                  </pic:spPr>
                </pic:pic>
              </a:graphicData>
            </a:graphic>
          </wp:inline>
        </w:drawing>
      </w:r>
    </w:p>
    <w:p w:rsidR="0079773E" w:rsidRPr="00081B7D" w:rsidRDefault="0079773E" w:rsidP="0079773E">
      <w:pPr>
        <w:pStyle w:val="Caption"/>
        <w:jc w:val="center"/>
        <w:rPr>
          <w:color w:val="auto"/>
        </w:rPr>
      </w:pPr>
      <w:bookmarkStart w:id="39" w:name="_Toc494147820"/>
      <w:r w:rsidRPr="00081B7D">
        <w:rPr>
          <w:color w:val="auto"/>
        </w:rPr>
        <w:t xml:space="preserve">Figure </w:t>
      </w:r>
      <w:r w:rsidR="007E2F79" w:rsidRPr="00081B7D">
        <w:rPr>
          <w:color w:val="auto"/>
        </w:rPr>
        <w:fldChar w:fldCharType="begin"/>
      </w:r>
      <w:r w:rsidRPr="00081B7D">
        <w:rPr>
          <w:color w:val="auto"/>
        </w:rPr>
        <w:instrText xml:space="preserve"> SEQ Figure \* ARABIC </w:instrText>
      </w:r>
      <w:r w:rsidR="007E2F79" w:rsidRPr="00081B7D">
        <w:rPr>
          <w:color w:val="auto"/>
        </w:rPr>
        <w:fldChar w:fldCharType="separate"/>
      </w:r>
      <w:r w:rsidR="007D6C7C">
        <w:rPr>
          <w:noProof/>
          <w:color w:val="auto"/>
        </w:rPr>
        <w:t>10</w:t>
      </w:r>
      <w:r w:rsidR="007E2F79" w:rsidRPr="00081B7D">
        <w:rPr>
          <w:color w:val="auto"/>
        </w:rPr>
        <w:fldChar w:fldCharType="end"/>
      </w:r>
      <w:r w:rsidRPr="00081B7D">
        <w:rPr>
          <w:color w:val="auto"/>
        </w:rPr>
        <w:t xml:space="preserve"> Appel de marge et Réponse à l'appel de marge de la Co</w:t>
      </w:r>
      <w:r w:rsidR="00DD586D">
        <w:rPr>
          <w:color w:val="auto"/>
        </w:rPr>
        <w:t>n</w:t>
      </w:r>
      <w:r w:rsidRPr="00081B7D">
        <w:rPr>
          <w:color w:val="auto"/>
        </w:rPr>
        <w:t>trepartie</w:t>
      </w:r>
      <w:r w:rsidR="008E24B5" w:rsidRPr="00081B7D">
        <w:rPr>
          <w:color w:val="auto"/>
        </w:rPr>
        <w:t xml:space="preserve"> 1</w:t>
      </w:r>
      <w:bookmarkEnd w:id="39"/>
    </w:p>
    <w:p w:rsidR="0079773E" w:rsidRPr="00081B7D" w:rsidRDefault="0079773E" w:rsidP="00E17C85">
      <w:pPr>
        <w:pStyle w:val="Standard"/>
        <w:spacing w:after="0"/>
      </w:pPr>
      <w:r w:rsidRPr="00081B7D">
        <w:lastRenderedPageBreak/>
        <w:t xml:space="preserve"> La figure ci-dessus montre le cas ou la contrepartie n’a pas d’appel de marge ce jour là.</w:t>
      </w:r>
      <w:r w:rsidR="00BA099F" w:rsidRPr="00081B7D">
        <w:t xml:space="preserve"> Un clic sur le bouton « RUN » détecte l’appel de marge du client s’il existe, et prépare éventuellement la réponse.</w:t>
      </w:r>
      <w:r w:rsidRPr="00081B7D">
        <w:t xml:space="preserve"> La SG</w:t>
      </w:r>
      <w:r w:rsidR="00BA099F" w:rsidRPr="00081B7D">
        <w:t xml:space="preserve"> contrairement au client</w:t>
      </w:r>
      <w:r w:rsidRPr="00081B7D">
        <w:t xml:space="preserve"> a un appel de marge en sa faveur</w:t>
      </w:r>
      <w:r w:rsidR="00BA099F" w:rsidRPr="00081B7D">
        <w:t xml:space="preserve"> ce jour là</w:t>
      </w:r>
      <w:r w:rsidRPr="00081B7D">
        <w:t xml:space="preserve"> sur plus d’une quarantaine de portefeuilles. L’utilité et la nécessité de la macro s’avèrent évidentes. La macro met par la suite en </w:t>
      </w:r>
      <w:r w:rsidR="00BA099F" w:rsidRPr="00081B7D">
        <w:t>« </w:t>
      </w:r>
      <w:proofErr w:type="spellStart"/>
      <w:r w:rsidRPr="00081B7D">
        <w:t>draft</w:t>
      </w:r>
      <w:proofErr w:type="spellEnd"/>
      <w:r w:rsidR="00BA099F" w:rsidRPr="00081B7D">
        <w:t> »</w:t>
      </w:r>
      <w:r w:rsidRPr="00081B7D">
        <w:t xml:space="preserve"> le mai là envoyer dans l’attente d’une réponse.</w:t>
      </w:r>
    </w:p>
    <w:p w:rsidR="008E24B5" w:rsidRPr="00081B7D" w:rsidRDefault="008E24B5" w:rsidP="00E17C85">
      <w:pPr>
        <w:pStyle w:val="Standard"/>
        <w:spacing w:after="0"/>
      </w:pPr>
    </w:p>
    <w:p w:rsidR="008E24B5" w:rsidRPr="00081B7D" w:rsidRDefault="008E24B5" w:rsidP="008E24B5">
      <w:pPr>
        <w:pStyle w:val="Standard"/>
        <w:keepNext/>
        <w:spacing w:after="0"/>
        <w:ind w:left="-284" w:firstLine="0"/>
      </w:pPr>
      <w:r w:rsidRPr="00081B7D">
        <w:rPr>
          <w:noProof/>
          <w:lang w:eastAsia="fr-FR"/>
        </w:rPr>
        <w:drawing>
          <wp:inline distT="0" distB="0" distL="0" distR="0">
            <wp:extent cx="6207579" cy="3657600"/>
            <wp:effectExtent l="19050" t="0" r="2721" b="0"/>
            <wp:docPr id="35" name="Picture 7"/>
            <wp:cNvGraphicFramePr/>
            <a:graphic xmlns:a="http://schemas.openxmlformats.org/drawingml/2006/main">
              <a:graphicData uri="http://schemas.openxmlformats.org/drawingml/2006/picture">
                <pic:pic xmlns:pic="http://schemas.openxmlformats.org/drawingml/2006/picture">
                  <pic:nvPicPr>
                    <pic:cNvPr id="1034" name="Picture 10"/>
                    <pic:cNvPicPr>
                      <a:picLocks noChangeAspect="1" noChangeArrowheads="1"/>
                    </pic:cNvPicPr>
                  </pic:nvPicPr>
                  <pic:blipFill>
                    <a:blip r:embed="rId74" cstate="print"/>
                    <a:srcRect/>
                    <a:stretch>
                      <a:fillRect/>
                    </a:stretch>
                  </pic:blipFill>
                  <pic:spPr bwMode="auto">
                    <a:xfrm>
                      <a:off x="0" y="0"/>
                      <a:ext cx="6206993" cy="3657255"/>
                    </a:xfrm>
                    <a:prstGeom prst="rect">
                      <a:avLst/>
                    </a:prstGeom>
                    <a:noFill/>
                    <a:ln w="9525">
                      <a:noFill/>
                      <a:miter lim="800000"/>
                      <a:headEnd/>
                      <a:tailEnd/>
                    </a:ln>
                    <a:effectLst/>
                  </pic:spPr>
                </pic:pic>
              </a:graphicData>
            </a:graphic>
          </wp:inline>
        </w:drawing>
      </w:r>
    </w:p>
    <w:p w:rsidR="008E24B5" w:rsidRPr="00081B7D" w:rsidRDefault="008E24B5" w:rsidP="000A2EAF">
      <w:pPr>
        <w:pStyle w:val="Caption"/>
        <w:jc w:val="center"/>
        <w:rPr>
          <w:color w:val="auto"/>
        </w:rPr>
      </w:pPr>
      <w:bookmarkStart w:id="40" w:name="_Toc494147821"/>
      <w:r w:rsidRPr="00081B7D">
        <w:rPr>
          <w:color w:val="auto"/>
        </w:rPr>
        <w:t xml:space="preserve">Figure </w:t>
      </w:r>
      <w:r w:rsidR="007E2F79" w:rsidRPr="00081B7D">
        <w:rPr>
          <w:color w:val="auto"/>
        </w:rPr>
        <w:fldChar w:fldCharType="begin"/>
      </w:r>
      <w:r w:rsidRPr="00081B7D">
        <w:rPr>
          <w:color w:val="auto"/>
        </w:rPr>
        <w:instrText xml:space="preserve"> SEQ Figure \* ARABIC </w:instrText>
      </w:r>
      <w:r w:rsidR="007E2F79" w:rsidRPr="00081B7D">
        <w:rPr>
          <w:color w:val="auto"/>
        </w:rPr>
        <w:fldChar w:fldCharType="separate"/>
      </w:r>
      <w:r w:rsidR="007D6C7C">
        <w:rPr>
          <w:noProof/>
          <w:color w:val="auto"/>
        </w:rPr>
        <w:t>11</w:t>
      </w:r>
      <w:r w:rsidR="007E2F79" w:rsidRPr="00081B7D">
        <w:rPr>
          <w:color w:val="auto"/>
        </w:rPr>
        <w:fldChar w:fldCharType="end"/>
      </w:r>
      <w:r w:rsidRPr="00081B7D">
        <w:rPr>
          <w:color w:val="auto"/>
        </w:rPr>
        <w:t xml:space="preserve"> Appel de marge et Réponse à l'appel de marge de la Co</w:t>
      </w:r>
      <w:r w:rsidR="00DD586D">
        <w:rPr>
          <w:color w:val="auto"/>
        </w:rPr>
        <w:t>n</w:t>
      </w:r>
      <w:r w:rsidRPr="00081B7D">
        <w:rPr>
          <w:color w:val="auto"/>
        </w:rPr>
        <w:t>trepartie 2</w:t>
      </w:r>
      <w:bookmarkEnd w:id="40"/>
    </w:p>
    <w:p w:rsidR="008E24B5" w:rsidRPr="00081B7D" w:rsidRDefault="008E24B5" w:rsidP="00E17C85">
      <w:pPr>
        <w:pStyle w:val="Standard"/>
        <w:spacing w:after="0"/>
      </w:pPr>
      <w:r w:rsidRPr="00081B7D">
        <w:t xml:space="preserve">La capture ci-dessus </w:t>
      </w:r>
      <w:r w:rsidR="000A2EAF" w:rsidRPr="00081B7D">
        <w:t>concerne la deuxième macro. Le principe est le même. L’appel de marge est automatiquement récupéré dans ce cas et ne requiert pas de copie du mail. La réponse est remplie sur le tableau directement, et envoyé dans un fichier sécurisé au client Le deuxième tableau remplit notre appel de marge à remplir par la contrepartie.</w:t>
      </w:r>
    </w:p>
    <w:p w:rsidR="000A2EAF" w:rsidRPr="00081B7D" w:rsidRDefault="000A2EAF" w:rsidP="00E17C85">
      <w:pPr>
        <w:pStyle w:val="Standard"/>
        <w:spacing w:after="0"/>
      </w:pPr>
      <w:r w:rsidRPr="00081B7D">
        <w:t xml:space="preserve">Une fois l’accord ou la réponse de la contrepartie reçus, on passe à l’onglet de </w:t>
      </w:r>
      <w:proofErr w:type="spellStart"/>
      <w:r w:rsidRPr="00081B7D">
        <w:t>booking</w:t>
      </w:r>
      <w:proofErr w:type="spellEnd"/>
      <w:r w:rsidRPr="00081B7D">
        <w:t xml:space="preserve"> correspondant selon que c’est en notre faveur ou en la faveur de la contrepartie.</w:t>
      </w:r>
    </w:p>
    <w:p w:rsidR="00E17C85" w:rsidRPr="00081B7D" w:rsidRDefault="008E24B5" w:rsidP="008E24B5">
      <w:pPr>
        <w:pStyle w:val="Heading3"/>
        <w:rPr>
          <w:lang w:val="fr-FR"/>
        </w:rPr>
      </w:pPr>
      <w:bookmarkStart w:id="41" w:name="_Toc494147805"/>
      <w:r w:rsidRPr="00081B7D">
        <w:rPr>
          <w:lang w:val="fr-FR"/>
        </w:rPr>
        <w:t xml:space="preserve">Onglet de </w:t>
      </w:r>
      <w:proofErr w:type="spellStart"/>
      <w:r w:rsidRPr="00081B7D">
        <w:rPr>
          <w:lang w:val="fr-FR"/>
        </w:rPr>
        <w:t>Booking</w:t>
      </w:r>
      <w:bookmarkEnd w:id="41"/>
      <w:proofErr w:type="spellEnd"/>
    </w:p>
    <w:p w:rsidR="000E7451" w:rsidRDefault="00BA099F" w:rsidP="00813F90">
      <w:pPr>
        <w:pStyle w:val="Standard"/>
      </w:pPr>
      <w:r w:rsidRPr="00081B7D">
        <w:t>Après une réponse de la contrepartie, un clic sur « </w:t>
      </w:r>
      <w:proofErr w:type="spellStart"/>
      <w:r w:rsidRPr="00081B7D">
        <w:t>Booking</w:t>
      </w:r>
      <w:proofErr w:type="spellEnd"/>
      <w:r w:rsidRPr="00081B7D">
        <w:t xml:space="preserve"> </w:t>
      </w:r>
      <w:proofErr w:type="spellStart"/>
      <w:r w:rsidRPr="00081B7D">
        <w:t>Mask</w:t>
      </w:r>
      <w:proofErr w:type="spellEnd"/>
      <w:r w:rsidRPr="00081B7D">
        <w:t> » génère un</w:t>
      </w:r>
      <w:r w:rsidR="00813F90" w:rsidRPr="00081B7D">
        <w:t xml:space="preserve"> </w:t>
      </w:r>
      <w:r w:rsidRPr="00081B7D">
        <w:t xml:space="preserve">masque de </w:t>
      </w:r>
      <w:proofErr w:type="spellStart"/>
      <w:r w:rsidRPr="00081B7D">
        <w:t>booking</w:t>
      </w:r>
      <w:proofErr w:type="spellEnd"/>
      <w:r w:rsidRPr="00081B7D">
        <w:t xml:space="preserve"> massif, qui permet d’économiser des heures </w:t>
      </w:r>
      <w:r w:rsidRPr="00081B7D">
        <w:lastRenderedPageBreak/>
        <w:t xml:space="preserve">de </w:t>
      </w:r>
      <w:proofErr w:type="spellStart"/>
      <w:r w:rsidRPr="00081B7D">
        <w:t>booking</w:t>
      </w:r>
      <w:proofErr w:type="spellEnd"/>
      <w:r w:rsidRPr="00081B7D">
        <w:t xml:space="preserve">, et d’éviter les erreurs humaines éventuelles. </w:t>
      </w:r>
      <w:r w:rsidR="00813F90" w:rsidRPr="00081B7D">
        <w:br/>
      </w:r>
      <w:r w:rsidRPr="00081B7D">
        <w:t xml:space="preserve">La macro tourne de sorte d’anticiper toute erreur de </w:t>
      </w:r>
      <w:proofErr w:type="spellStart"/>
      <w:r w:rsidRPr="00081B7D">
        <w:t>booking</w:t>
      </w:r>
      <w:proofErr w:type="spellEnd"/>
      <w:r w:rsidRPr="00081B7D">
        <w:t xml:space="preserve">. </w:t>
      </w:r>
    </w:p>
    <w:p w:rsidR="000E7451" w:rsidRDefault="00BA099F" w:rsidP="00813F90">
      <w:pPr>
        <w:pStyle w:val="Standard"/>
      </w:pPr>
      <w:r w:rsidRPr="00081B7D">
        <w:t xml:space="preserve">Si dans la réponse de la </w:t>
      </w:r>
      <w:r w:rsidR="00813F90" w:rsidRPr="00081B7D">
        <w:t>c</w:t>
      </w:r>
      <w:r w:rsidRPr="00081B7D">
        <w:t xml:space="preserve">ontrepartie, il existe une erreur de nominal en leur possession à nous rendre, la macro détecte et souligne en jaune les lignes </w:t>
      </w:r>
      <w:r w:rsidR="00813F90" w:rsidRPr="00081B7D">
        <w:t>de doute.</w:t>
      </w:r>
      <w:r w:rsidR="000E7451">
        <w:t xml:space="preserve"> </w:t>
      </w:r>
      <w:r w:rsidR="00813F90" w:rsidRPr="00081B7D">
        <w:t>Le masque s’organise sous forme de deux tableaux consécutifs. Le premier regroupe les deals déjà existants, avec le nominal à ajouter.</w:t>
      </w:r>
    </w:p>
    <w:p w:rsidR="00626979" w:rsidRPr="00081B7D" w:rsidRDefault="00813F90" w:rsidP="00813F90">
      <w:pPr>
        <w:pStyle w:val="Standard"/>
      </w:pPr>
      <w:r w:rsidRPr="00081B7D">
        <w:t xml:space="preserve"> L’opération est alors soit un « </w:t>
      </w:r>
      <w:proofErr w:type="spellStart"/>
      <w:r w:rsidRPr="00081B7D">
        <w:t>Increase</w:t>
      </w:r>
      <w:proofErr w:type="spellEnd"/>
      <w:r w:rsidRPr="00081B7D">
        <w:t> », dans le cas d’une augmentation de la position du collatéral de la contrepartie en notre possession, soit une « </w:t>
      </w:r>
      <w:proofErr w:type="spellStart"/>
      <w:r w:rsidRPr="00081B7D">
        <w:t>Termination</w:t>
      </w:r>
      <w:proofErr w:type="spellEnd"/>
      <w:r w:rsidRPr="00081B7D">
        <w:t> » dans le cas d’une récupération totale de notre collatéral chez la contrepartie.</w:t>
      </w:r>
      <w:r w:rsidR="00DE12B5" w:rsidRPr="00081B7D">
        <w:t xml:space="preserve"> Un « </w:t>
      </w:r>
      <w:proofErr w:type="spellStart"/>
      <w:r w:rsidR="00DE12B5" w:rsidRPr="00081B7D">
        <w:t>Decrease</w:t>
      </w:r>
      <w:proofErr w:type="spellEnd"/>
      <w:r w:rsidR="00DE12B5" w:rsidRPr="00081B7D">
        <w:t> » est</w:t>
      </w:r>
      <w:r w:rsidR="00E17C85" w:rsidRPr="00081B7D">
        <w:t xml:space="preserve"> </w:t>
      </w:r>
      <w:proofErr w:type="spellStart"/>
      <w:r w:rsidR="00E17C85" w:rsidRPr="00081B7D">
        <w:t>booké</w:t>
      </w:r>
      <w:proofErr w:type="spellEnd"/>
      <w:r w:rsidR="00E17C85" w:rsidRPr="00081B7D">
        <w:t xml:space="preserve"> lorsqu’on nous rend une partie de notre collatéral.</w:t>
      </w:r>
    </w:p>
    <w:p w:rsidR="00813F90" w:rsidRPr="00081B7D" w:rsidRDefault="00BA099F" w:rsidP="004D0570">
      <w:pPr>
        <w:pStyle w:val="Standard"/>
        <w:tabs>
          <w:tab w:val="left" w:pos="3119"/>
        </w:tabs>
        <w:ind w:left="-426" w:firstLine="0"/>
      </w:pPr>
      <w:r w:rsidRPr="00081B7D">
        <w:rPr>
          <w:noProof/>
          <w:lang w:eastAsia="fr-FR"/>
        </w:rPr>
        <w:drawing>
          <wp:inline distT="0" distB="0" distL="0" distR="0">
            <wp:extent cx="6272893" cy="3788229"/>
            <wp:effectExtent l="19050" t="0" r="0" b="0"/>
            <wp:docPr id="27" name="Object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104313" cy="6172200"/>
                      <a:chOff x="2860025" y="1236519"/>
                      <a:chExt cx="9104313" cy="6172200"/>
                    </a:xfrm>
                  </a:grpSpPr>
                  <a:pic>
                    <a:nvPicPr>
                      <a:cNvPr id="1029" name="Picture 5" descr="E:\rapport tesnim\image004.png"/>
                      <a:cNvPicPr>
                        <a:picLocks noChangeAspect="1" noChangeArrowheads="1"/>
                      </a:cNvPicPr>
                    </a:nvPicPr>
                    <a:blipFill>
                      <a:blip r:embed="rId75"/>
                      <a:srcRect/>
                      <a:stretch>
                        <a:fillRect/>
                      </a:stretch>
                    </a:blipFill>
                    <a:spPr bwMode="auto">
                      <a:xfrm>
                        <a:off x="2860025" y="1236519"/>
                        <a:ext cx="9104313" cy="6172200"/>
                      </a:xfrm>
                      <a:prstGeom prst="rect">
                        <a:avLst/>
                      </a:prstGeom>
                      <a:noFill/>
                    </a:spPr>
                  </a:pic>
                  <a:sp>
                    <a:nvSpPr>
                      <a:cNvPr id="17" name="Rectangle 16"/>
                      <a:cNvSpPr/>
                    </a:nvSpPr>
                    <a:spPr>
                      <a:xfrm flipV="1">
                        <a:off x="3352799" y="7297738"/>
                        <a:ext cx="332510" cy="45719"/>
                      </a:xfrm>
                      <a:prstGeom prst="rect">
                        <a:avLst/>
                      </a:prstGeom>
                      <a:solidFill>
                        <a:schemeClr val="accent6">
                          <a:lumMod val="20000"/>
                          <a:lumOff val="80000"/>
                        </a:schemeClr>
                      </a:solidFill>
                      <a:ln>
                        <a:noFill/>
                      </a:ln>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lc:lockedCanvas>
              </a:graphicData>
            </a:graphic>
          </wp:inline>
        </w:drawing>
      </w:r>
    </w:p>
    <w:p w:rsidR="00626979" w:rsidRPr="00081B7D" w:rsidRDefault="0079773E" w:rsidP="00813F90">
      <w:pPr>
        <w:pStyle w:val="Caption"/>
        <w:ind w:left="0"/>
        <w:jc w:val="center"/>
        <w:rPr>
          <w:color w:val="auto"/>
        </w:rPr>
      </w:pPr>
      <w:bookmarkStart w:id="42" w:name="_Toc494147822"/>
      <w:r w:rsidRPr="00081B7D">
        <w:rPr>
          <w:color w:val="auto"/>
        </w:rPr>
        <w:t xml:space="preserve">Figure </w:t>
      </w:r>
      <w:r w:rsidR="007E2F79" w:rsidRPr="00081B7D">
        <w:rPr>
          <w:color w:val="auto"/>
        </w:rPr>
        <w:fldChar w:fldCharType="begin"/>
      </w:r>
      <w:r w:rsidRPr="00081B7D">
        <w:rPr>
          <w:color w:val="auto"/>
        </w:rPr>
        <w:instrText xml:space="preserve"> SEQ Figure \* ARABIC </w:instrText>
      </w:r>
      <w:r w:rsidR="007E2F79" w:rsidRPr="00081B7D">
        <w:rPr>
          <w:color w:val="auto"/>
        </w:rPr>
        <w:fldChar w:fldCharType="separate"/>
      </w:r>
      <w:r w:rsidR="007D6C7C">
        <w:rPr>
          <w:noProof/>
          <w:color w:val="auto"/>
        </w:rPr>
        <w:t>12</w:t>
      </w:r>
      <w:r w:rsidR="007E2F79" w:rsidRPr="00081B7D">
        <w:rPr>
          <w:color w:val="auto"/>
        </w:rPr>
        <w:fldChar w:fldCharType="end"/>
      </w:r>
      <w:r w:rsidRPr="00081B7D">
        <w:rPr>
          <w:color w:val="auto"/>
        </w:rPr>
        <w:t xml:space="preserve"> Onglet de </w:t>
      </w:r>
      <w:proofErr w:type="spellStart"/>
      <w:r w:rsidR="00BA099F" w:rsidRPr="00081B7D">
        <w:rPr>
          <w:color w:val="auto"/>
        </w:rPr>
        <w:t>B</w:t>
      </w:r>
      <w:r w:rsidRPr="00081B7D">
        <w:rPr>
          <w:color w:val="auto"/>
        </w:rPr>
        <w:t>ooking</w:t>
      </w:r>
      <w:proofErr w:type="spellEnd"/>
      <w:r w:rsidRPr="00081B7D">
        <w:rPr>
          <w:color w:val="auto"/>
        </w:rPr>
        <w:t xml:space="preserve"> pour la réception du collatéral</w:t>
      </w:r>
      <w:r w:rsidR="000A2EAF" w:rsidRPr="00081B7D">
        <w:rPr>
          <w:color w:val="auto"/>
        </w:rPr>
        <w:t xml:space="preserve"> cp1</w:t>
      </w:r>
      <w:bookmarkEnd w:id="42"/>
    </w:p>
    <w:p w:rsidR="004D0570" w:rsidRPr="00081B7D" w:rsidRDefault="004D0570" w:rsidP="004D0570">
      <w:pPr>
        <w:pStyle w:val="Standard"/>
      </w:pPr>
      <w:r w:rsidRPr="00081B7D">
        <w:t xml:space="preserve">Le deuxième tableau </w:t>
      </w:r>
      <w:r w:rsidR="00DE12B5" w:rsidRPr="00081B7D">
        <w:t>quant à lui sous le nom « </w:t>
      </w:r>
      <w:proofErr w:type="spellStart"/>
      <w:r w:rsidR="00DE12B5" w:rsidRPr="00081B7D">
        <w:t>Create</w:t>
      </w:r>
      <w:proofErr w:type="spellEnd"/>
      <w:r w:rsidR="00DE12B5" w:rsidRPr="00081B7D">
        <w:t xml:space="preserve"> » regroupe les </w:t>
      </w:r>
      <w:proofErr w:type="spellStart"/>
      <w:r w:rsidR="00DE12B5" w:rsidRPr="00081B7D">
        <w:t>booking</w:t>
      </w:r>
      <w:proofErr w:type="spellEnd"/>
      <w:r w:rsidR="00DE12B5" w:rsidRPr="00081B7D">
        <w:t xml:space="preserve"> sous de nouvelles références, ou plus d’informations telles que le type de produit sont requises. </w:t>
      </w:r>
    </w:p>
    <w:p w:rsidR="00626979" w:rsidRPr="00081B7D" w:rsidRDefault="004D0570" w:rsidP="000A2EAF">
      <w:pPr>
        <w:pStyle w:val="Standard"/>
      </w:pPr>
      <w:r w:rsidRPr="00081B7D">
        <w:t xml:space="preserve">Le petit tableau à droite sous le nom de « Update » se remplit au fur et à mesure du remplissage des masques de </w:t>
      </w:r>
      <w:proofErr w:type="spellStart"/>
      <w:r w:rsidRPr="00081B7D">
        <w:t>Bookings</w:t>
      </w:r>
      <w:proofErr w:type="spellEnd"/>
      <w:r w:rsidRPr="00081B7D">
        <w:t xml:space="preserve"> où une ligne correspond à </w:t>
      </w:r>
      <w:r w:rsidRPr="00081B7D">
        <w:lastRenderedPageBreak/>
        <w:t xml:space="preserve">un </w:t>
      </w:r>
      <w:proofErr w:type="spellStart"/>
      <w:r w:rsidR="00C93768" w:rsidRPr="00081B7D">
        <w:t>B</w:t>
      </w:r>
      <w:r w:rsidRPr="00081B7D">
        <w:t>ooking</w:t>
      </w:r>
      <w:proofErr w:type="spellEnd"/>
      <w:r w:rsidRPr="00081B7D">
        <w:t xml:space="preserve">. </w:t>
      </w:r>
      <w:r w:rsidR="00DE12B5" w:rsidRPr="00081B7D">
        <w:t xml:space="preserve">Il renseigne la somme totale qui va rentrer dans notre pool de collatéral par </w:t>
      </w:r>
      <w:r w:rsidR="00E17C85" w:rsidRPr="00081B7D">
        <w:t>obligation,</w:t>
      </w:r>
      <w:r w:rsidR="00DE12B5" w:rsidRPr="00081B7D">
        <w:t xml:space="preserve"> dans le cas d’un</w:t>
      </w:r>
      <w:r w:rsidR="00E17C85" w:rsidRPr="00081B7D">
        <w:t xml:space="preserve"> « </w:t>
      </w:r>
      <w:proofErr w:type="spellStart"/>
      <w:r w:rsidR="00E17C85" w:rsidRPr="00081B7D">
        <w:t>decrease</w:t>
      </w:r>
      <w:proofErr w:type="spellEnd"/>
      <w:r w:rsidR="00E17C85" w:rsidRPr="00081B7D">
        <w:t> » ou d’une « </w:t>
      </w:r>
      <w:proofErr w:type="spellStart"/>
      <w:r w:rsidR="00E17C85" w:rsidRPr="00081B7D">
        <w:t>Termi</w:t>
      </w:r>
      <w:r w:rsidR="00DD586D">
        <w:t>n</w:t>
      </w:r>
      <w:r w:rsidR="00E17C85" w:rsidRPr="00081B7D">
        <w:t>ation</w:t>
      </w:r>
      <w:proofErr w:type="spellEnd"/>
      <w:r w:rsidR="00E17C85" w:rsidRPr="00081B7D">
        <w:t> ».</w:t>
      </w:r>
    </w:p>
    <w:p w:rsidR="000A2EAF" w:rsidRPr="00081B7D" w:rsidRDefault="00626979" w:rsidP="000A2EAF">
      <w:pPr>
        <w:keepNext/>
        <w:ind w:left="-426"/>
      </w:pPr>
      <w:r w:rsidRPr="00081B7D">
        <w:rPr>
          <w:noProof/>
          <w:lang w:eastAsia="fr-FR"/>
        </w:rPr>
        <w:drawing>
          <wp:inline distT="0" distB="0" distL="0" distR="0">
            <wp:extent cx="6307610" cy="3641125"/>
            <wp:effectExtent l="19050" t="0" r="0" b="0"/>
            <wp:docPr id="15" name="Picture 4" descr="E:\rapport tesnim\image008.png"/>
            <wp:cNvGraphicFramePr/>
            <a:graphic xmlns:a="http://schemas.openxmlformats.org/drawingml/2006/main">
              <a:graphicData uri="http://schemas.openxmlformats.org/drawingml/2006/picture">
                <pic:pic xmlns:pic="http://schemas.openxmlformats.org/drawingml/2006/picture">
                  <pic:nvPicPr>
                    <pic:cNvPr id="1031" name="Picture 7" descr="E:\rapport tesnim\image008.png"/>
                    <pic:cNvPicPr>
                      <a:picLocks noChangeAspect="1" noChangeArrowheads="1"/>
                    </pic:cNvPicPr>
                  </pic:nvPicPr>
                  <pic:blipFill>
                    <a:blip r:embed="rId76" cstate="print"/>
                    <a:srcRect/>
                    <a:stretch>
                      <a:fillRect/>
                    </a:stretch>
                  </pic:blipFill>
                  <pic:spPr bwMode="auto">
                    <a:xfrm>
                      <a:off x="0" y="0"/>
                      <a:ext cx="6311999" cy="3643659"/>
                    </a:xfrm>
                    <a:prstGeom prst="rect">
                      <a:avLst/>
                    </a:prstGeom>
                    <a:noFill/>
                  </pic:spPr>
                </pic:pic>
              </a:graphicData>
            </a:graphic>
          </wp:inline>
        </w:drawing>
      </w:r>
    </w:p>
    <w:p w:rsidR="00626979" w:rsidRDefault="000A2EAF" w:rsidP="000A2EAF">
      <w:pPr>
        <w:pStyle w:val="Caption"/>
        <w:jc w:val="center"/>
        <w:rPr>
          <w:color w:val="auto"/>
        </w:rPr>
      </w:pPr>
      <w:bookmarkStart w:id="43" w:name="_Toc494147823"/>
      <w:r w:rsidRPr="00081B7D">
        <w:rPr>
          <w:color w:val="auto"/>
        </w:rPr>
        <w:t xml:space="preserve">Figure </w:t>
      </w:r>
      <w:r w:rsidR="007E2F79" w:rsidRPr="00081B7D">
        <w:rPr>
          <w:color w:val="auto"/>
        </w:rPr>
        <w:fldChar w:fldCharType="begin"/>
      </w:r>
      <w:r w:rsidRPr="00081B7D">
        <w:rPr>
          <w:color w:val="auto"/>
        </w:rPr>
        <w:instrText xml:space="preserve"> SEQ Figure \* ARABIC </w:instrText>
      </w:r>
      <w:r w:rsidR="007E2F79" w:rsidRPr="00081B7D">
        <w:rPr>
          <w:color w:val="auto"/>
        </w:rPr>
        <w:fldChar w:fldCharType="separate"/>
      </w:r>
      <w:r w:rsidR="007D6C7C">
        <w:rPr>
          <w:noProof/>
          <w:color w:val="auto"/>
        </w:rPr>
        <w:t>13</w:t>
      </w:r>
      <w:r w:rsidR="007E2F79" w:rsidRPr="00081B7D">
        <w:rPr>
          <w:color w:val="auto"/>
        </w:rPr>
        <w:fldChar w:fldCharType="end"/>
      </w:r>
      <w:r w:rsidRPr="00081B7D">
        <w:rPr>
          <w:color w:val="auto"/>
        </w:rPr>
        <w:t xml:space="preserve"> Onglet de </w:t>
      </w:r>
      <w:proofErr w:type="spellStart"/>
      <w:r w:rsidRPr="00081B7D">
        <w:rPr>
          <w:color w:val="auto"/>
        </w:rPr>
        <w:t>Booking</w:t>
      </w:r>
      <w:proofErr w:type="spellEnd"/>
      <w:r w:rsidRPr="00081B7D">
        <w:rPr>
          <w:color w:val="auto"/>
        </w:rPr>
        <w:t xml:space="preserve"> pour la réception du collatéral cp2</w:t>
      </w:r>
      <w:bookmarkEnd w:id="43"/>
    </w:p>
    <w:p w:rsidR="00D26186" w:rsidRDefault="00D26186" w:rsidP="00D26186"/>
    <w:p w:rsidR="00D26186" w:rsidRDefault="00D26186" w:rsidP="00D26186"/>
    <w:p w:rsidR="00D26186" w:rsidRPr="00D26186" w:rsidRDefault="00D26186" w:rsidP="00D26186">
      <w:pPr>
        <w:pStyle w:val="Standard"/>
      </w:pPr>
      <w:r>
        <w:t xml:space="preserve">La stratégie suivie pour l’optimisation du pool collatéral lors de la proposition de titres éligibles à la contrepartie dans les macros, consiste à suivre un </w:t>
      </w:r>
      <w:r w:rsidR="00DD586D">
        <w:t>algorithme</w:t>
      </w:r>
      <w:r>
        <w:t xml:space="preserve"> particulier qui permet de ne pas épuiser un titre particulier complètement mais au contraire équilibrer la distribution</w:t>
      </w:r>
      <w:r w:rsidR="00AC2A7E">
        <w:t xml:space="preserve">, </w:t>
      </w:r>
      <w:proofErr w:type="gramStart"/>
      <w:r w:rsidR="00AC2A7E">
        <w:t>ainsi ,</w:t>
      </w:r>
      <w:proofErr w:type="gramEnd"/>
      <w:r w:rsidR="00AC2A7E">
        <w:t xml:space="preserve"> les titres restent disponibles dans le cas ou in en aura besoin pour d’autres contreparties. D’un autre côté on</w:t>
      </w:r>
      <w:r>
        <w:t xml:space="preserve"> choisi</w:t>
      </w:r>
      <w:r w:rsidR="00AC2A7E">
        <w:t>t</w:t>
      </w:r>
      <w:r>
        <w:t xml:space="preserve"> selon un ordre de priorité, selon les </w:t>
      </w:r>
      <w:r w:rsidR="00AC2A7E">
        <w:t>nominaux</w:t>
      </w:r>
      <w:r>
        <w:t xml:space="preserve"> </w:t>
      </w:r>
      <w:r w:rsidR="00AC2A7E">
        <w:t>disponibles et les dates de maturité des obligations.</w:t>
      </w:r>
    </w:p>
    <w:p w:rsidR="00C8696E" w:rsidRPr="00081B7D" w:rsidRDefault="00081B7D" w:rsidP="00081B7D">
      <w:pPr>
        <w:pStyle w:val="Heading3"/>
        <w:rPr>
          <w:lang w:val="fr-FR"/>
        </w:rPr>
      </w:pPr>
      <w:bookmarkStart w:id="44" w:name="_Toc494147806"/>
      <w:r w:rsidRPr="00081B7D">
        <w:rPr>
          <w:lang w:val="fr-FR"/>
        </w:rPr>
        <w:t>Réconciliation des portefeuilles</w:t>
      </w:r>
      <w:bookmarkEnd w:id="44"/>
    </w:p>
    <w:p w:rsidR="00081B7D" w:rsidRPr="00081B7D" w:rsidRDefault="00081B7D" w:rsidP="00081B7D">
      <w:pPr>
        <w:pStyle w:val="Standard"/>
      </w:pPr>
      <w:r w:rsidRPr="00081B7D">
        <w:t xml:space="preserve">Dans cette étape, une macro a été élaborée par mon collègue qui compare ligne par ligne les portefeuilles respectifs et souligne </w:t>
      </w:r>
      <w:r w:rsidR="000E7451" w:rsidRPr="00081B7D">
        <w:t>la différence</w:t>
      </w:r>
      <w:r w:rsidRPr="00081B7D">
        <w:t>. Il a nettement facilité la tache de comparaison. Il reste la partie d’analyse et d’exploitation de la source de différence entre les expositions.</w:t>
      </w:r>
    </w:p>
    <w:p w:rsidR="000E7451" w:rsidRDefault="00081B7D" w:rsidP="00AC2A7E">
      <w:pPr>
        <w:pStyle w:val="Standard"/>
      </w:pPr>
      <w:r w:rsidRPr="00081B7D">
        <w:lastRenderedPageBreak/>
        <w:t xml:space="preserve">Un </w:t>
      </w:r>
      <w:proofErr w:type="spellStart"/>
      <w:r w:rsidRPr="00081B7D">
        <w:t>cut</w:t>
      </w:r>
      <w:proofErr w:type="spellEnd"/>
      <w:r w:rsidRPr="00081B7D">
        <w:t xml:space="preserve">-off n’est pas à dépasser pour </w:t>
      </w:r>
      <w:r>
        <w:t>une réconciliation. Sinon l’exposition est intégrée dans celle du lendemain.</w:t>
      </w:r>
      <w:r w:rsidR="00AC2A7E">
        <w:t xml:space="preserve"> </w:t>
      </w:r>
    </w:p>
    <w:p w:rsidR="00092A21" w:rsidRPr="00081B7D" w:rsidRDefault="00092A21" w:rsidP="00081B7D">
      <w:pPr>
        <w:pStyle w:val="Standard"/>
      </w:pPr>
    </w:p>
    <w:p w:rsidR="00092A21" w:rsidRPr="00081B7D" w:rsidRDefault="00092A21" w:rsidP="00092A21">
      <w:pPr>
        <w:pStyle w:val="Heading2"/>
      </w:pPr>
      <w:bookmarkStart w:id="45" w:name="_Toc494147807"/>
      <w:r w:rsidRPr="00081B7D">
        <w:t>Autres activités</w:t>
      </w:r>
      <w:bookmarkEnd w:id="45"/>
    </w:p>
    <w:p w:rsidR="00092A21" w:rsidRPr="00081B7D" w:rsidRDefault="00092A21" w:rsidP="00092A21">
      <w:pPr>
        <w:pStyle w:val="Standard"/>
      </w:pPr>
      <w:r w:rsidRPr="00081B7D">
        <w:t xml:space="preserve">Ayant l’après midi pour me concentrer sur l’élaboration des macros, le matin je participe aux processus quotidiens avec l’équipe, notamment les appels de marges face aux différentes chambres de compensation, ou les appels de marges avec les différents clients qui ont un ou deux fonds au maximum. Ceux là sont traités manuellement et ponctuellement, et sont partagés quotidiennement entre les membres de l’équipe. Les chambres de compensation sont quant à elle agents de calcul. Nous sommes amenés à nous aligner avec l’appel de marge qu’elle réclame. </w:t>
      </w:r>
    </w:p>
    <w:p w:rsidR="00092A21" w:rsidRPr="00081B7D" w:rsidRDefault="00092A21" w:rsidP="00092A21">
      <w:pPr>
        <w:pStyle w:val="Standard"/>
      </w:pPr>
    </w:p>
    <w:p w:rsidR="00564CDD" w:rsidRPr="00081B7D" w:rsidRDefault="00564CDD" w:rsidP="000E7451">
      <w:pPr>
        <w:pStyle w:val="Textbody"/>
        <w:ind w:left="0" w:firstLine="0"/>
        <w:sectPr w:rsidR="00564CDD" w:rsidRPr="00081B7D" w:rsidSect="003D6DC2">
          <w:headerReference w:type="default" r:id="rId77"/>
          <w:pgSz w:w="11906" w:h="16838"/>
          <w:pgMar w:top="1417" w:right="1417" w:bottom="1417" w:left="1417" w:header="3" w:footer="191" w:gutter="0"/>
          <w:cols w:space="708"/>
          <w:docGrid w:linePitch="360"/>
        </w:sectPr>
      </w:pPr>
    </w:p>
    <w:p w:rsidR="00C8696E" w:rsidRDefault="00C8696E" w:rsidP="00564CDD">
      <w:pPr>
        <w:pStyle w:val="Heading1"/>
      </w:pPr>
      <w:r w:rsidRPr="00081B7D">
        <w:lastRenderedPageBreak/>
        <w:t xml:space="preserve"> </w:t>
      </w:r>
      <w:bookmarkStart w:id="46" w:name="_Toc494147808"/>
      <w:r w:rsidR="003177CA" w:rsidRPr="00081B7D">
        <w:t>Conclusion</w:t>
      </w:r>
      <w:bookmarkEnd w:id="46"/>
    </w:p>
    <w:p w:rsidR="00D26186" w:rsidRDefault="00D26186" w:rsidP="00D26186">
      <w:pPr>
        <w:pStyle w:val="Standard"/>
      </w:pPr>
      <w:r>
        <w:t xml:space="preserve">La crise financière de 2007 a permis la mobilisation des régulateurs qui ont impacté directement le monde du collatéral. </w:t>
      </w:r>
      <w:r w:rsidR="00AC2A7E">
        <w:t xml:space="preserve">Un intérêt particulier immédiat des institutions financière pour les stratégies de gestion de collatéral a permis de faire évoluer le périmètre de manière très sophistiquée ; Les banques doivent être </w:t>
      </w:r>
      <w:proofErr w:type="gramStart"/>
      <w:r w:rsidR="00AC2A7E">
        <w:t>capable</w:t>
      </w:r>
      <w:proofErr w:type="gramEnd"/>
      <w:r w:rsidR="00AC2A7E">
        <w:t xml:space="preserve"> de s’assurer une quantité suffisante de collatéral au bon moment, pour satisfaire aux besoins d’appels de marges. L’optimisation du pool collatéral est un procédé auquel on est amené à participer, et à communiquer en permanence avec le FO.</w:t>
      </w:r>
    </w:p>
    <w:p w:rsidR="00AC2A7E" w:rsidRDefault="00AC2A7E" w:rsidP="00AC2A7E">
      <w:pPr>
        <w:pStyle w:val="Standard"/>
        <w:ind w:firstLine="0"/>
      </w:pPr>
      <w:r>
        <w:t>D’un autre côté un passage s’observe vers les échanges centralisés, avec les chambres de compensation.</w:t>
      </w:r>
    </w:p>
    <w:p w:rsidR="00AC2A7E" w:rsidRDefault="00AC2A7E" w:rsidP="00AC2A7E">
      <w:pPr>
        <w:pStyle w:val="Standard"/>
        <w:ind w:firstLine="0"/>
      </w:pPr>
      <w:r>
        <w:t xml:space="preserve">Sur le long terme, le monde du collatéral a encore des défis à relever, et des </w:t>
      </w:r>
      <w:r w:rsidR="00BF2BD6">
        <w:t xml:space="preserve">promesses face au risque à prouver. Selon la gestion du risque de l’institution financière, </w:t>
      </w:r>
      <w:r>
        <w:t xml:space="preserve"> </w:t>
      </w:r>
      <w:r w:rsidR="00BF2BD6">
        <w:t xml:space="preserve"> on pourrait s’attendre à une régulation plus répandue de la </w:t>
      </w:r>
      <w:proofErr w:type="spellStart"/>
      <w:r w:rsidR="00BF2BD6">
        <w:t>collatéralisation</w:t>
      </w:r>
      <w:proofErr w:type="spellEnd"/>
      <w:r w:rsidR="00BF2BD6">
        <w:t>.</w:t>
      </w:r>
    </w:p>
    <w:p w:rsidR="00AC2A7E" w:rsidRPr="00D26186" w:rsidRDefault="00AC2A7E" w:rsidP="00D26186">
      <w:pPr>
        <w:pStyle w:val="Standard"/>
      </w:pPr>
      <w:r>
        <w:t xml:space="preserve">Mon </w:t>
      </w:r>
      <w:r w:rsidR="00BF2BD6">
        <w:t>stage au sein de la Société Générale m’a permis de me familiariser avec ces sujets et de réaliser l’importance et l’enjeu du collatéral dans le monde financier d’</w:t>
      </w:r>
      <w:r w:rsidR="00DD586D">
        <w:t>aujourd’hui</w:t>
      </w:r>
      <w:r w:rsidR="00BF2BD6">
        <w:t xml:space="preserve">. </w:t>
      </w:r>
      <w:r w:rsidR="00DD586D">
        <w:t>J’ai pu en effet évoluer, dans un environnement ou il règne un parfait équilibre entre esprit d’équipe et autonomie.</w:t>
      </w:r>
      <w:r w:rsidR="00BF2BD6">
        <w:t xml:space="preserve"> L’expérience que j’ai pu acquérir aux côtés d’équipes formidables, a été des plus formatrices de mon parcours académique et une excellente initiation à mon projet professionnelle.</w:t>
      </w:r>
    </w:p>
    <w:p w:rsidR="00C546C4" w:rsidRPr="00081B7D" w:rsidRDefault="00C546C4" w:rsidP="00C546C4"/>
    <w:p w:rsidR="00C546C4" w:rsidRPr="00081B7D" w:rsidRDefault="00C546C4" w:rsidP="00C546C4"/>
    <w:p w:rsidR="00BF2BD6" w:rsidRDefault="00BF2BD6" w:rsidP="00BF2BD6">
      <w:pPr>
        <w:ind w:left="0"/>
        <w:sectPr w:rsidR="00BF2BD6" w:rsidSect="003D6DC2">
          <w:headerReference w:type="default" r:id="rId78"/>
          <w:pgSz w:w="11906" w:h="16838"/>
          <w:pgMar w:top="1417" w:right="1417" w:bottom="1417" w:left="1417" w:header="3" w:footer="191" w:gutter="0"/>
          <w:cols w:space="708"/>
          <w:docGrid w:linePitch="360"/>
        </w:sectPr>
      </w:pPr>
    </w:p>
    <w:p w:rsidR="00BF2BD6" w:rsidRDefault="00BF2BD6" w:rsidP="00BF2BD6">
      <w:pPr>
        <w:pStyle w:val="Heading1"/>
        <w:numPr>
          <w:ilvl w:val="0"/>
          <w:numId w:val="0"/>
        </w:numPr>
        <w:ind w:left="432"/>
      </w:pPr>
      <w:bookmarkStart w:id="47" w:name="_Toc494147809"/>
      <w:r>
        <w:lastRenderedPageBreak/>
        <w:t>Annexe</w:t>
      </w:r>
      <w:bookmarkEnd w:id="47"/>
    </w:p>
    <w:p w:rsidR="005C7C2E" w:rsidRPr="002D700A" w:rsidRDefault="005C7C2E" w:rsidP="002D700A">
      <w:pPr>
        <w:pStyle w:val="NormalWeb"/>
        <w:shd w:val="clear" w:color="auto" w:fill="FFFFFF"/>
        <w:spacing w:before="360" w:beforeAutospacing="0" w:after="360" w:afterAutospacing="0"/>
        <w:rPr>
          <w:color w:val="0D0D0D" w:themeColor="text1" w:themeTint="F2"/>
        </w:rPr>
      </w:pPr>
      <w:r w:rsidRPr="002D700A">
        <w:rPr>
          <w:rFonts w:asciiTheme="majorHAnsi" w:hAnsiTheme="majorHAnsi"/>
          <w:b/>
        </w:rPr>
        <w:t>Obligation</w:t>
      </w:r>
      <w:r w:rsidRPr="005C7C2E">
        <w:rPr>
          <w:b/>
        </w:rPr>
        <w:t> :</w:t>
      </w:r>
      <w:r>
        <w:t xml:space="preserve"> </w:t>
      </w:r>
      <w:r w:rsidRPr="002D700A">
        <w:rPr>
          <w:rFonts w:asciiTheme="majorHAnsi" w:hAnsiTheme="majorHAnsi"/>
        </w:rPr>
        <w:t>Une obligation est une valeur mobilière représentant une part de dettes à long terme d’un État, d’une collectivité locale ou d’une société. Il existe différents types d'obligations, mais elles présentent toutes une caractéristique commune : le versement d'un intérêt (ou « coupon ») en contrepartie du prêt fourni par l’investisseur.</w:t>
      </w:r>
      <w:r w:rsidRPr="002D700A">
        <w:rPr>
          <w:rFonts w:asciiTheme="majorHAnsi" w:hAnsiTheme="majorHAnsi"/>
        </w:rPr>
        <w:br/>
        <w:t xml:space="preserve">Quand vous achetez une obligation émise, vous prêtez de l’argent à l’émetteur, qui peut être un État, une collectivité locale ou une société. L’obligation précise le montant du prêt, le taux d’intérêt, la périodicité à laquelle l’émetteur vous versera des intérêts et la </w:t>
      </w:r>
      <w:r w:rsidRPr="002D700A">
        <w:rPr>
          <w:rFonts w:asciiTheme="majorHAnsi" w:hAnsiTheme="majorHAnsi"/>
          <w:color w:val="0D0D0D" w:themeColor="text1" w:themeTint="F2"/>
        </w:rPr>
        <w:t>date à laquelle le montant principal du prêt doit être remboursé (la date de maturité).</w:t>
      </w:r>
    </w:p>
    <w:p w:rsidR="002D700A" w:rsidRPr="002D700A" w:rsidRDefault="002D700A" w:rsidP="002D700A">
      <w:pPr>
        <w:pStyle w:val="NormalWeb"/>
        <w:spacing w:before="360" w:beforeAutospacing="0" w:after="360" w:afterAutospacing="0"/>
        <w:rPr>
          <w:rFonts w:asciiTheme="majorHAnsi" w:hAnsiTheme="majorHAnsi"/>
        </w:rPr>
      </w:pPr>
      <w:r w:rsidRPr="002D700A">
        <w:rPr>
          <w:rFonts w:asciiTheme="majorHAnsi" w:hAnsiTheme="majorHAnsi"/>
          <w:b/>
        </w:rPr>
        <w:t>Qualité des obligations </w:t>
      </w:r>
      <w:r w:rsidRPr="002D700A">
        <w:rPr>
          <w:rFonts w:asciiTheme="majorHAnsi" w:hAnsiTheme="majorHAnsi"/>
        </w:rPr>
        <w:t>: Le système de notati</w:t>
      </w:r>
      <w:r>
        <w:rPr>
          <w:rFonts w:asciiTheme="majorHAnsi" w:hAnsiTheme="majorHAnsi"/>
        </w:rPr>
        <w:t>on de S&amp;P est décrit ci-dessous :</w:t>
      </w:r>
    </w:p>
    <w:p w:rsidR="002D700A" w:rsidRPr="002D700A" w:rsidRDefault="002D700A" w:rsidP="002D700A">
      <w:pPr>
        <w:numPr>
          <w:ilvl w:val="0"/>
          <w:numId w:val="8"/>
        </w:numPr>
        <w:spacing w:after="0" w:line="240" w:lineRule="auto"/>
        <w:rPr>
          <w:rFonts w:asciiTheme="majorHAnsi" w:eastAsia="Times New Roman" w:hAnsiTheme="majorHAnsi" w:cs="Arial"/>
          <w:color w:val="0D0D0D" w:themeColor="text1" w:themeTint="F2"/>
          <w:sz w:val="24"/>
          <w:szCs w:val="24"/>
          <w:lang w:eastAsia="fr-FR"/>
        </w:rPr>
      </w:pPr>
      <w:r w:rsidRPr="002D700A">
        <w:rPr>
          <w:rFonts w:asciiTheme="majorHAnsi" w:eastAsia="Times New Roman" w:hAnsiTheme="majorHAnsi" w:cs="Arial"/>
          <w:color w:val="0D0D0D" w:themeColor="text1" w:themeTint="F2"/>
          <w:sz w:val="24"/>
          <w:szCs w:val="24"/>
          <w:lang w:eastAsia="fr-FR"/>
        </w:rPr>
        <w:t>AAA est la note de crédit la plus haute et D et la plus basse.</w:t>
      </w:r>
    </w:p>
    <w:p w:rsidR="002D700A" w:rsidRPr="002D700A" w:rsidRDefault="002D700A" w:rsidP="002D700A">
      <w:pPr>
        <w:numPr>
          <w:ilvl w:val="0"/>
          <w:numId w:val="8"/>
        </w:numPr>
        <w:spacing w:after="0" w:line="240" w:lineRule="auto"/>
        <w:rPr>
          <w:rFonts w:asciiTheme="majorHAnsi" w:eastAsia="Times New Roman" w:hAnsiTheme="majorHAnsi" w:cs="Arial"/>
          <w:color w:val="0D0D0D" w:themeColor="text1" w:themeTint="F2"/>
          <w:sz w:val="24"/>
          <w:szCs w:val="24"/>
          <w:lang w:eastAsia="fr-FR"/>
        </w:rPr>
      </w:pPr>
      <w:r w:rsidRPr="002D700A">
        <w:rPr>
          <w:rFonts w:asciiTheme="majorHAnsi" w:eastAsia="Times New Roman" w:hAnsiTheme="majorHAnsi" w:cs="Arial"/>
          <w:color w:val="0D0D0D" w:themeColor="text1" w:themeTint="F2"/>
          <w:sz w:val="24"/>
          <w:szCs w:val="24"/>
          <w:lang w:eastAsia="fr-FR"/>
        </w:rPr>
        <w:t>Les obligations notées AAA, AA, A et BBB  sont considérées comme des obligations de bonne qualité ("</w:t>
      </w:r>
      <w:proofErr w:type="spellStart"/>
      <w:r w:rsidRPr="002D700A">
        <w:rPr>
          <w:rFonts w:asciiTheme="majorHAnsi" w:eastAsia="Times New Roman" w:hAnsiTheme="majorHAnsi" w:cs="Arial"/>
          <w:color w:val="0D0D0D" w:themeColor="text1" w:themeTint="F2"/>
          <w:sz w:val="24"/>
          <w:szCs w:val="24"/>
          <w:lang w:eastAsia="fr-FR"/>
        </w:rPr>
        <w:t>investment</w:t>
      </w:r>
      <w:proofErr w:type="spellEnd"/>
      <w:r w:rsidRPr="002D700A">
        <w:rPr>
          <w:rFonts w:asciiTheme="majorHAnsi" w:eastAsia="Times New Roman" w:hAnsiTheme="majorHAnsi" w:cs="Arial"/>
          <w:color w:val="0D0D0D" w:themeColor="text1" w:themeTint="F2"/>
          <w:sz w:val="24"/>
          <w:szCs w:val="24"/>
          <w:lang w:eastAsia="fr-FR"/>
        </w:rPr>
        <w:t>-grade") : elles sont jugées relativement à l’abri d’un risque de défaut.</w:t>
      </w:r>
    </w:p>
    <w:p w:rsidR="002D700A" w:rsidRPr="002D700A" w:rsidRDefault="002D700A" w:rsidP="002D700A">
      <w:pPr>
        <w:numPr>
          <w:ilvl w:val="0"/>
          <w:numId w:val="8"/>
        </w:numPr>
        <w:spacing w:after="0" w:line="240" w:lineRule="auto"/>
        <w:rPr>
          <w:rFonts w:asciiTheme="majorHAnsi" w:eastAsia="Times New Roman" w:hAnsiTheme="majorHAnsi" w:cs="Arial"/>
          <w:color w:val="0D0D0D" w:themeColor="text1" w:themeTint="F2"/>
          <w:sz w:val="24"/>
          <w:szCs w:val="24"/>
          <w:lang w:eastAsia="fr-FR"/>
        </w:rPr>
      </w:pPr>
      <w:r w:rsidRPr="002D700A">
        <w:rPr>
          <w:rFonts w:asciiTheme="majorHAnsi" w:eastAsia="Times New Roman" w:hAnsiTheme="majorHAnsi" w:cs="Arial"/>
          <w:color w:val="0D0D0D" w:themeColor="text1" w:themeTint="F2"/>
          <w:sz w:val="24"/>
          <w:szCs w:val="24"/>
          <w:lang w:eastAsia="fr-FR"/>
        </w:rPr>
        <w:t>Les obligations notées BB ou au-dessous (y compris B, CCC, CC et C) sont considérées comme des investissements plus risqués et à haut rendement, parce qu’elles présentent des caractéristiques  spéculatives et ne sont pas à l’abri d’un défaut de paiement.</w:t>
      </w:r>
    </w:p>
    <w:p w:rsidR="002D700A" w:rsidRPr="002D700A" w:rsidRDefault="002D700A" w:rsidP="002D700A">
      <w:pPr>
        <w:numPr>
          <w:ilvl w:val="0"/>
          <w:numId w:val="8"/>
        </w:numPr>
        <w:spacing w:after="0" w:line="240" w:lineRule="auto"/>
        <w:rPr>
          <w:rFonts w:asciiTheme="majorHAnsi" w:eastAsia="Times New Roman" w:hAnsiTheme="majorHAnsi" w:cs="Arial"/>
          <w:color w:val="0D0D0D" w:themeColor="text1" w:themeTint="F2"/>
          <w:sz w:val="24"/>
          <w:szCs w:val="24"/>
          <w:lang w:eastAsia="fr-FR"/>
        </w:rPr>
      </w:pPr>
      <w:r w:rsidRPr="002D700A">
        <w:rPr>
          <w:rFonts w:asciiTheme="majorHAnsi" w:eastAsia="Times New Roman" w:hAnsiTheme="majorHAnsi" w:cs="Arial"/>
          <w:color w:val="0D0D0D" w:themeColor="text1" w:themeTint="F2"/>
          <w:sz w:val="24"/>
          <w:szCs w:val="24"/>
          <w:lang w:eastAsia="fr-FR"/>
        </w:rPr>
        <w:t>Des obligations notées D sont déjà en situation de défaut de paiement.</w:t>
      </w:r>
    </w:p>
    <w:p w:rsidR="002D700A" w:rsidRPr="002D700A" w:rsidRDefault="002D700A" w:rsidP="002D700A">
      <w:pPr>
        <w:numPr>
          <w:ilvl w:val="0"/>
          <w:numId w:val="8"/>
        </w:numPr>
        <w:spacing w:after="0" w:line="240" w:lineRule="auto"/>
        <w:rPr>
          <w:rFonts w:asciiTheme="majorHAnsi" w:eastAsia="Times New Roman" w:hAnsiTheme="majorHAnsi" w:cs="Arial"/>
          <w:color w:val="0D0D0D" w:themeColor="text1" w:themeTint="F2"/>
          <w:sz w:val="24"/>
          <w:szCs w:val="24"/>
          <w:lang w:eastAsia="fr-FR"/>
        </w:rPr>
      </w:pPr>
      <w:r w:rsidRPr="002D700A">
        <w:rPr>
          <w:rFonts w:asciiTheme="majorHAnsi" w:eastAsia="Times New Roman" w:hAnsiTheme="majorHAnsi" w:cs="Arial"/>
          <w:color w:val="0D0D0D" w:themeColor="text1" w:themeTint="F2"/>
          <w:sz w:val="24"/>
          <w:szCs w:val="24"/>
          <w:lang w:eastAsia="fr-FR"/>
        </w:rPr>
        <w:t>Les notations se voient modifiées en y associant un plus (+) ou un moins (–) afin d’établir une distinction relative au sein de chaque catégorie.</w:t>
      </w:r>
    </w:p>
    <w:p w:rsidR="002D700A" w:rsidRPr="002D700A" w:rsidRDefault="002D700A" w:rsidP="002D700A">
      <w:pPr>
        <w:numPr>
          <w:ilvl w:val="0"/>
          <w:numId w:val="8"/>
        </w:numPr>
        <w:spacing w:after="0" w:line="240" w:lineRule="auto"/>
        <w:rPr>
          <w:rFonts w:asciiTheme="majorHAnsi" w:eastAsia="Times New Roman" w:hAnsiTheme="majorHAnsi" w:cs="Arial"/>
          <w:color w:val="0D0D0D" w:themeColor="text1" w:themeTint="F2"/>
          <w:sz w:val="24"/>
          <w:szCs w:val="24"/>
          <w:lang w:eastAsia="fr-FR"/>
        </w:rPr>
      </w:pPr>
      <w:r w:rsidRPr="002D700A">
        <w:rPr>
          <w:rFonts w:asciiTheme="majorHAnsi" w:eastAsia="Times New Roman" w:hAnsiTheme="majorHAnsi" w:cs="Arial"/>
          <w:color w:val="0D0D0D" w:themeColor="text1" w:themeTint="F2"/>
          <w:sz w:val="24"/>
          <w:szCs w:val="24"/>
          <w:lang w:eastAsia="fr-FR"/>
        </w:rPr>
        <w:t>Il est important de retenir que les notations de  crédit  représentent l’avis de l’agence de notation : il ne s’agit pas de références de qualité absolues. De leur côté, les fonds de placement emploient leurs propres analystes de crédit, qui font des recherches approfondies avant d’admettre une obligation dans un portefeuille.</w:t>
      </w:r>
    </w:p>
    <w:p w:rsidR="00BF2BD6" w:rsidRPr="002D700A" w:rsidRDefault="008C1E65" w:rsidP="008C1E65">
      <w:pPr>
        <w:ind w:left="0"/>
        <w:rPr>
          <w:b/>
        </w:rPr>
      </w:pPr>
      <w:r w:rsidRPr="008C1E65">
        <w:rPr>
          <w:rFonts w:asciiTheme="majorHAnsi" w:eastAsia="Times New Roman" w:hAnsiTheme="majorHAnsi" w:cs="Arial"/>
          <w:color w:val="0D0D0D" w:themeColor="text1" w:themeTint="F2"/>
          <w:sz w:val="24"/>
          <w:szCs w:val="24"/>
          <w:lang w:eastAsia="fr-FR"/>
        </w:rPr>
        <w:t>Quand il s'agit de titres négociables, ceux-ci sont généralement choisis parmi des « valeurs sûres » (titres d'Etat ou d'émetteurs notés « triple A » par les </w:t>
      </w:r>
      <w:hyperlink r:id="rId79" w:history="1">
        <w:r w:rsidRPr="008C1E65">
          <w:rPr>
            <w:rFonts w:asciiTheme="majorHAnsi" w:eastAsia="Times New Roman" w:hAnsiTheme="majorHAnsi" w:cs="Arial"/>
            <w:color w:val="0D0D0D" w:themeColor="text1" w:themeTint="F2"/>
            <w:sz w:val="24"/>
            <w:szCs w:val="24"/>
            <w:lang w:eastAsia="fr-FR"/>
          </w:rPr>
          <w:t>agences de notation</w:t>
        </w:r>
      </w:hyperlink>
      <w:r w:rsidRPr="008C1E65">
        <w:rPr>
          <w:rFonts w:asciiTheme="majorHAnsi" w:eastAsia="Times New Roman" w:hAnsiTheme="majorHAnsi" w:cs="Arial"/>
          <w:color w:val="0D0D0D" w:themeColor="text1" w:themeTint="F2"/>
          <w:sz w:val="24"/>
          <w:szCs w:val="24"/>
          <w:lang w:eastAsia="fr-FR"/>
        </w:rPr>
        <w:t>) et liquides, pour permettre au créancier, en cas de défaillance du débiteur, de récupérer facilement sa créance en les vendant sur le marché. Afin de ne pas générer de complications inutiles, on évite souvent de remettre en garantie des titres qui arrivent à échéance ou qui paient un coupon (cf. </w:t>
      </w:r>
      <w:hyperlink r:id="rId80" w:history="1">
        <w:r w:rsidRPr="008C1E65">
          <w:rPr>
            <w:rFonts w:asciiTheme="majorHAnsi" w:eastAsia="Times New Roman" w:hAnsiTheme="majorHAnsi" w:cs="Arial"/>
            <w:color w:val="0D0D0D" w:themeColor="text1" w:themeTint="F2"/>
            <w:sz w:val="24"/>
            <w:szCs w:val="24"/>
            <w:lang w:eastAsia="fr-FR"/>
          </w:rPr>
          <w:t>OST</w:t>
        </w:r>
      </w:hyperlink>
      <w:r w:rsidRPr="008C1E65">
        <w:rPr>
          <w:rFonts w:asciiTheme="majorHAnsi" w:eastAsia="Times New Roman" w:hAnsiTheme="majorHAnsi" w:cs="Arial"/>
          <w:color w:val="0D0D0D" w:themeColor="text1" w:themeTint="F2"/>
          <w:sz w:val="24"/>
          <w:szCs w:val="24"/>
          <w:lang w:eastAsia="fr-FR"/>
        </w:rPr>
        <w:t>) pendant la durée de l'opération couverte. On évite également le collatéral dont la valeur de marché serait étroitement liée à la valorisation du contrat couvert.</w:t>
      </w:r>
    </w:p>
    <w:p w:rsidR="00BF2BD6" w:rsidRPr="008C1E65" w:rsidRDefault="00BF2BD6" w:rsidP="008C1E65">
      <w:pPr>
        <w:pStyle w:val="Standard"/>
        <w:ind w:firstLine="0"/>
        <w:rPr>
          <w:rFonts w:eastAsia="Times New Roman" w:cs="Times New Roman"/>
          <w:sz w:val="24"/>
          <w:szCs w:val="24"/>
          <w:lang w:eastAsia="fr-FR"/>
        </w:rPr>
      </w:pPr>
      <w:r w:rsidRPr="008C1E65">
        <w:rPr>
          <w:rFonts w:eastAsia="Times New Roman" w:cs="Times New Roman"/>
          <w:b/>
          <w:sz w:val="24"/>
          <w:szCs w:val="24"/>
          <w:lang w:eastAsia="fr-FR"/>
        </w:rPr>
        <w:t xml:space="preserve">Initial </w:t>
      </w:r>
      <w:proofErr w:type="spellStart"/>
      <w:r w:rsidR="005C7C2E" w:rsidRPr="008C1E65">
        <w:rPr>
          <w:rFonts w:eastAsia="Times New Roman" w:cs="Times New Roman"/>
          <w:b/>
          <w:sz w:val="24"/>
          <w:szCs w:val="24"/>
          <w:lang w:eastAsia="fr-FR"/>
        </w:rPr>
        <w:t>M</w:t>
      </w:r>
      <w:r w:rsidRPr="008C1E65">
        <w:rPr>
          <w:rFonts w:eastAsia="Times New Roman" w:cs="Times New Roman"/>
          <w:b/>
          <w:sz w:val="24"/>
          <w:szCs w:val="24"/>
          <w:lang w:eastAsia="fr-FR"/>
        </w:rPr>
        <w:t>argin</w:t>
      </w:r>
      <w:proofErr w:type="spellEnd"/>
      <w:r w:rsidR="000002F1">
        <w:rPr>
          <w:rFonts w:eastAsia="Times New Roman" w:cs="Times New Roman"/>
          <w:b/>
          <w:sz w:val="24"/>
          <w:szCs w:val="24"/>
          <w:lang w:eastAsia="fr-FR"/>
        </w:rPr>
        <w:t> :</w:t>
      </w:r>
      <w:r w:rsidR="002D700A" w:rsidRPr="002D700A">
        <w:rPr>
          <w:shd w:val="clear" w:color="auto" w:fill="FFFFFF"/>
        </w:rPr>
        <w:t xml:space="preserve"> </w:t>
      </w:r>
      <w:r w:rsidR="002D700A" w:rsidRPr="008C1E65">
        <w:rPr>
          <w:rFonts w:eastAsia="Times New Roman" w:cs="Times New Roman"/>
          <w:sz w:val="24"/>
          <w:szCs w:val="24"/>
          <w:lang w:eastAsia="fr-FR"/>
        </w:rPr>
        <w:t xml:space="preserve">Le dépôt de garantie, en anglais « initial </w:t>
      </w:r>
      <w:proofErr w:type="spellStart"/>
      <w:r w:rsidR="002D700A" w:rsidRPr="008C1E65">
        <w:rPr>
          <w:rFonts w:eastAsia="Times New Roman" w:cs="Times New Roman"/>
          <w:sz w:val="24"/>
          <w:szCs w:val="24"/>
          <w:lang w:eastAsia="fr-FR"/>
        </w:rPr>
        <w:t>margin</w:t>
      </w:r>
      <w:proofErr w:type="spellEnd"/>
      <w:r w:rsidR="002D700A" w:rsidRPr="008C1E65">
        <w:rPr>
          <w:rFonts w:eastAsia="Times New Roman" w:cs="Times New Roman"/>
          <w:sz w:val="24"/>
          <w:szCs w:val="24"/>
          <w:lang w:eastAsia="fr-FR"/>
        </w:rPr>
        <w:t> », désigne le montant initial de collatéral destiné à couvrir une nouvelle position. Un montant seuil (</w:t>
      </w:r>
      <w:proofErr w:type="spellStart"/>
      <w:r w:rsidR="002D700A" w:rsidRPr="008C1E65">
        <w:rPr>
          <w:rFonts w:eastAsia="Times New Roman" w:cs="Times New Roman"/>
          <w:sz w:val="24"/>
          <w:szCs w:val="24"/>
          <w:lang w:eastAsia="fr-FR"/>
        </w:rPr>
        <w:t>threshold</w:t>
      </w:r>
      <w:proofErr w:type="spellEnd"/>
      <w:r w:rsidR="002D700A" w:rsidRPr="008C1E65">
        <w:rPr>
          <w:rFonts w:eastAsia="Times New Roman" w:cs="Times New Roman"/>
          <w:sz w:val="24"/>
          <w:szCs w:val="24"/>
          <w:lang w:eastAsia="fr-FR"/>
        </w:rPr>
        <w:t>) peut être défini, c'est-à-dire que les positions ouvertes ne commenceront à être couvertes qu'à partir du moment où leur valeur dépasse ce seuil.</w:t>
      </w:r>
    </w:p>
    <w:p w:rsidR="00BF2BD6" w:rsidRPr="008C1E65" w:rsidRDefault="00BF2BD6" w:rsidP="008C1E65">
      <w:pPr>
        <w:ind w:left="0"/>
        <w:rPr>
          <w:rFonts w:asciiTheme="majorHAnsi" w:eastAsia="Times New Roman" w:hAnsiTheme="majorHAnsi" w:cs="Times New Roman"/>
          <w:sz w:val="24"/>
          <w:szCs w:val="24"/>
          <w:lang w:eastAsia="fr-FR"/>
        </w:rPr>
      </w:pPr>
      <w:r w:rsidRPr="008C1E65">
        <w:rPr>
          <w:rFonts w:asciiTheme="majorHAnsi" w:eastAsia="Times New Roman" w:hAnsiTheme="majorHAnsi" w:cs="Times New Roman"/>
          <w:b/>
          <w:sz w:val="24"/>
          <w:szCs w:val="24"/>
          <w:lang w:eastAsia="fr-FR"/>
        </w:rPr>
        <w:lastRenderedPageBreak/>
        <w:t xml:space="preserve">Variation </w:t>
      </w:r>
      <w:proofErr w:type="spellStart"/>
      <w:r w:rsidR="005C7C2E" w:rsidRPr="008C1E65">
        <w:rPr>
          <w:rFonts w:asciiTheme="majorHAnsi" w:eastAsia="Times New Roman" w:hAnsiTheme="majorHAnsi" w:cs="Times New Roman"/>
          <w:b/>
          <w:sz w:val="24"/>
          <w:szCs w:val="24"/>
          <w:lang w:eastAsia="fr-FR"/>
        </w:rPr>
        <w:t>M</w:t>
      </w:r>
      <w:r w:rsidRPr="008C1E65">
        <w:rPr>
          <w:rFonts w:asciiTheme="majorHAnsi" w:eastAsia="Times New Roman" w:hAnsiTheme="majorHAnsi" w:cs="Times New Roman"/>
          <w:b/>
          <w:sz w:val="24"/>
          <w:szCs w:val="24"/>
          <w:lang w:eastAsia="fr-FR"/>
        </w:rPr>
        <w:t>argin</w:t>
      </w:r>
      <w:proofErr w:type="spellEnd"/>
      <w:r w:rsidR="000002F1">
        <w:rPr>
          <w:rFonts w:asciiTheme="majorHAnsi" w:eastAsia="Times New Roman" w:hAnsiTheme="majorHAnsi" w:cs="Times New Roman"/>
          <w:b/>
          <w:sz w:val="24"/>
          <w:szCs w:val="24"/>
          <w:lang w:eastAsia="fr-FR"/>
        </w:rPr>
        <w:t xml:space="preserve"> : </w:t>
      </w:r>
      <w:r w:rsidR="008C1E65" w:rsidRPr="008C1E65">
        <w:rPr>
          <w:rFonts w:asciiTheme="majorHAnsi" w:eastAsia="Times New Roman" w:hAnsiTheme="majorHAnsi" w:cs="Times New Roman"/>
          <w:sz w:val="24"/>
          <w:szCs w:val="24"/>
          <w:lang w:eastAsia="fr-FR"/>
        </w:rPr>
        <w:t>Les appels de marge (</w:t>
      </w:r>
      <w:proofErr w:type="spellStart"/>
      <w:r w:rsidR="008C1E65" w:rsidRPr="008C1E65">
        <w:rPr>
          <w:rFonts w:asciiTheme="majorHAnsi" w:eastAsia="Times New Roman" w:hAnsiTheme="majorHAnsi" w:cs="Times New Roman"/>
          <w:sz w:val="24"/>
          <w:szCs w:val="24"/>
          <w:lang w:eastAsia="fr-FR"/>
        </w:rPr>
        <w:t>margin</w:t>
      </w:r>
      <w:proofErr w:type="spellEnd"/>
      <w:r w:rsidR="008C1E65" w:rsidRPr="008C1E65">
        <w:rPr>
          <w:rFonts w:asciiTheme="majorHAnsi" w:eastAsia="Times New Roman" w:hAnsiTheme="majorHAnsi" w:cs="Times New Roman"/>
          <w:sz w:val="24"/>
          <w:szCs w:val="24"/>
          <w:lang w:eastAsia="fr-FR"/>
        </w:rPr>
        <w:t xml:space="preserve"> call ou variation</w:t>
      </w:r>
      <w:r w:rsidR="000002F1" w:rsidRPr="008C1E65">
        <w:rPr>
          <w:rFonts w:asciiTheme="majorHAnsi" w:eastAsia="Times New Roman" w:hAnsiTheme="majorHAnsi" w:cs="Times New Roman"/>
          <w:sz w:val="24"/>
          <w:szCs w:val="24"/>
          <w:lang w:eastAsia="fr-FR"/>
        </w:rPr>
        <w:t xml:space="preserve"> </w:t>
      </w:r>
      <w:proofErr w:type="spellStart"/>
      <w:r w:rsidR="000002F1" w:rsidRPr="008C1E65">
        <w:rPr>
          <w:rFonts w:asciiTheme="majorHAnsi" w:eastAsia="Times New Roman" w:hAnsiTheme="majorHAnsi" w:cs="Times New Roman"/>
          <w:sz w:val="24"/>
          <w:szCs w:val="24"/>
          <w:lang w:eastAsia="fr-FR"/>
        </w:rPr>
        <w:t>margin</w:t>
      </w:r>
      <w:proofErr w:type="spellEnd"/>
      <w:r w:rsidR="008C1E65" w:rsidRPr="008C1E65">
        <w:rPr>
          <w:rFonts w:asciiTheme="majorHAnsi" w:eastAsia="Times New Roman" w:hAnsiTheme="majorHAnsi" w:cs="Times New Roman"/>
          <w:sz w:val="24"/>
          <w:szCs w:val="24"/>
          <w:lang w:eastAsia="fr-FR"/>
        </w:rPr>
        <w:t>) désignent les flux de collatéral échangés à chaque nouvelle revalorisation du stock. Là aussi, afin d'éviter des frais inutiles, un seuil est défini en deçà duquel l'échange n'aura pas lieu.</w:t>
      </w:r>
    </w:p>
    <w:p w:rsidR="00BF2BD6" w:rsidRPr="000002F1" w:rsidRDefault="005C7C2E" w:rsidP="000002F1">
      <w:pPr>
        <w:ind w:left="0"/>
        <w:rPr>
          <w:rFonts w:asciiTheme="majorHAnsi" w:eastAsia="Times New Roman" w:hAnsiTheme="majorHAnsi" w:cs="Times New Roman"/>
          <w:sz w:val="24"/>
          <w:szCs w:val="24"/>
          <w:lang w:eastAsia="fr-FR"/>
        </w:rPr>
      </w:pPr>
      <w:proofErr w:type="spellStart"/>
      <w:r w:rsidRPr="000002F1">
        <w:rPr>
          <w:rFonts w:asciiTheme="majorHAnsi" w:eastAsia="Times New Roman" w:hAnsiTheme="majorHAnsi" w:cs="Times New Roman"/>
          <w:b/>
          <w:sz w:val="24"/>
          <w:szCs w:val="24"/>
          <w:lang w:eastAsia="fr-FR"/>
        </w:rPr>
        <w:t>H</w:t>
      </w:r>
      <w:r w:rsidR="00BF2BD6" w:rsidRPr="000002F1">
        <w:rPr>
          <w:rFonts w:asciiTheme="majorHAnsi" w:eastAsia="Times New Roman" w:hAnsiTheme="majorHAnsi" w:cs="Times New Roman"/>
          <w:b/>
          <w:sz w:val="24"/>
          <w:szCs w:val="24"/>
          <w:lang w:eastAsia="fr-FR"/>
        </w:rPr>
        <w:t>edge</w:t>
      </w:r>
      <w:proofErr w:type="spellEnd"/>
      <w:r w:rsidR="00BF2BD6" w:rsidRPr="000002F1">
        <w:rPr>
          <w:rFonts w:asciiTheme="majorHAnsi" w:eastAsia="Times New Roman" w:hAnsiTheme="majorHAnsi" w:cs="Times New Roman"/>
          <w:b/>
          <w:sz w:val="24"/>
          <w:szCs w:val="24"/>
          <w:lang w:eastAsia="fr-FR"/>
        </w:rPr>
        <w:t xml:space="preserve"> </w:t>
      </w:r>
      <w:proofErr w:type="spellStart"/>
      <w:r w:rsidRPr="000002F1">
        <w:rPr>
          <w:rFonts w:asciiTheme="majorHAnsi" w:eastAsia="Times New Roman" w:hAnsiTheme="majorHAnsi" w:cs="Times New Roman"/>
          <w:b/>
          <w:sz w:val="24"/>
          <w:szCs w:val="24"/>
          <w:lang w:eastAsia="fr-FR"/>
        </w:rPr>
        <w:t>F</w:t>
      </w:r>
      <w:r w:rsidR="00BF2BD6" w:rsidRPr="000002F1">
        <w:rPr>
          <w:rFonts w:asciiTheme="majorHAnsi" w:eastAsia="Times New Roman" w:hAnsiTheme="majorHAnsi" w:cs="Times New Roman"/>
          <w:b/>
          <w:sz w:val="24"/>
          <w:szCs w:val="24"/>
          <w:lang w:eastAsia="fr-FR"/>
        </w:rPr>
        <w:t>und</w:t>
      </w:r>
      <w:proofErr w:type="spellEnd"/>
      <w:r w:rsidR="000002F1">
        <w:rPr>
          <w:rFonts w:asciiTheme="majorHAnsi" w:eastAsia="Times New Roman" w:hAnsiTheme="majorHAnsi" w:cs="Times New Roman"/>
          <w:b/>
          <w:sz w:val="24"/>
          <w:szCs w:val="24"/>
          <w:lang w:eastAsia="fr-FR"/>
        </w:rPr>
        <w:t xml:space="preserve"> : </w:t>
      </w:r>
      <w:r w:rsidR="000002F1" w:rsidRPr="000002F1">
        <w:rPr>
          <w:rFonts w:asciiTheme="majorHAnsi" w:eastAsia="Times New Roman" w:hAnsiTheme="majorHAnsi" w:cs="Times New Roman"/>
          <w:sz w:val="24"/>
          <w:szCs w:val="24"/>
          <w:lang w:eastAsia="fr-FR"/>
        </w:rPr>
        <w:t xml:space="preserve">Les </w:t>
      </w:r>
      <w:proofErr w:type="spellStart"/>
      <w:r w:rsidR="000002F1" w:rsidRPr="000002F1">
        <w:rPr>
          <w:rFonts w:asciiTheme="majorHAnsi" w:eastAsia="Times New Roman" w:hAnsiTheme="majorHAnsi" w:cs="Times New Roman"/>
          <w:sz w:val="24"/>
          <w:szCs w:val="24"/>
          <w:lang w:eastAsia="fr-FR"/>
        </w:rPr>
        <w:t>hedge</w:t>
      </w:r>
      <w:proofErr w:type="spellEnd"/>
      <w:r w:rsidR="000002F1" w:rsidRPr="000002F1">
        <w:rPr>
          <w:rFonts w:asciiTheme="majorHAnsi" w:eastAsia="Times New Roman" w:hAnsiTheme="majorHAnsi" w:cs="Times New Roman"/>
          <w:sz w:val="24"/>
          <w:szCs w:val="24"/>
          <w:lang w:eastAsia="fr-FR"/>
        </w:rPr>
        <w:t xml:space="preserve"> </w:t>
      </w:r>
      <w:proofErr w:type="spellStart"/>
      <w:r w:rsidR="000002F1" w:rsidRPr="000002F1">
        <w:rPr>
          <w:rFonts w:asciiTheme="majorHAnsi" w:eastAsia="Times New Roman" w:hAnsiTheme="majorHAnsi" w:cs="Times New Roman"/>
          <w:sz w:val="24"/>
          <w:szCs w:val="24"/>
          <w:lang w:eastAsia="fr-FR"/>
        </w:rPr>
        <w:t>funds</w:t>
      </w:r>
      <w:proofErr w:type="spellEnd"/>
      <w:r w:rsidR="000002F1" w:rsidRPr="000002F1">
        <w:rPr>
          <w:rFonts w:asciiTheme="majorHAnsi" w:eastAsia="Times New Roman" w:hAnsiTheme="majorHAnsi" w:cs="Times New Roman"/>
          <w:sz w:val="24"/>
          <w:szCs w:val="24"/>
          <w:lang w:eastAsia="fr-FR"/>
        </w:rPr>
        <w:t>, contrairement à leur nom qui signifie couverture, sont des </w:t>
      </w:r>
      <w:hyperlink r:id="rId81" w:anchor="xtor=SEC-3168" w:tooltip="Définition de Fonds d'investissement" w:history="1">
        <w:r w:rsidR="000002F1" w:rsidRPr="000002F1">
          <w:rPr>
            <w:rFonts w:asciiTheme="majorHAnsi" w:eastAsia="Times New Roman" w:hAnsiTheme="majorHAnsi" w:cs="Times New Roman"/>
            <w:sz w:val="24"/>
            <w:szCs w:val="24"/>
            <w:lang w:eastAsia="fr-FR"/>
          </w:rPr>
          <w:t>fonds d'investissement</w:t>
        </w:r>
      </w:hyperlink>
      <w:r w:rsidR="000002F1" w:rsidRPr="000002F1">
        <w:rPr>
          <w:rFonts w:asciiTheme="majorHAnsi" w:eastAsia="Times New Roman" w:hAnsiTheme="majorHAnsi" w:cs="Times New Roman"/>
          <w:sz w:val="24"/>
          <w:szCs w:val="24"/>
          <w:lang w:eastAsia="fr-FR"/>
        </w:rPr>
        <w:t> non cotés à vocation spéculative. Ce sont des fonds spéculatifs recherchant des rentabilités élevées et qui utilisent abondamment les </w:t>
      </w:r>
      <w:hyperlink r:id="rId82" w:anchor="xtor=SEC-3168" w:tooltip="Définition de Produit dérivé" w:history="1">
        <w:r w:rsidR="000002F1" w:rsidRPr="000002F1">
          <w:rPr>
            <w:rFonts w:asciiTheme="majorHAnsi" w:eastAsia="Times New Roman" w:hAnsiTheme="majorHAnsi" w:cs="Times New Roman"/>
            <w:sz w:val="24"/>
            <w:szCs w:val="24"/>
            <w:lang w:eastAsia="fr-FR"/>
          </w:rPr>
          <w:t>produits dérivés</w:t>
        </w:r>
      </w:hyperlink>
      <w:r w:rsidR="000002F1" w:rsidRPr="000002F1">
        <w:rPr>
          <w:rFonts w:asciiTheme="majorHAnsi" w:eastAsia="Times New Roman" w:hAnsiTheme="majorHAnsi" w:cs="Times New Roman"/>
          <w:sz w:val="24"/>
          <w:szCs w:val="24"/>
          <w:lang w:eastAsia="fr-FR"/>
        </w:rPr>
        <w:t>, en particuliers les options. Ils utilisent l'</w:t>
      </w:r>
      <w:hyperlink r:id="rId83" w:anchor="xtor=SEC-3168" w:tooltip="Définition de Effet de levier" w:history="1">
        <w:r w:rsidR="000002F1" w:rsidRPr="000002F1">
          <w:rPr>
            <w:rFonts w:asciiTheme="majorHAnsi" w:eastAsia="Times New Roman" w:hAnsiTheme="majorHAnsi" w:cs="Times New Roman"/>
            <w:sz w:val="24"/>
            <w:szCs w:val="24"/>
            <w:lang w:eastAsia="fr-FR"/>
          </w:rPr>
          <w:t>effet de levier</w:t>
        </w:r>
      </w:hyperlink>
      <w:r w:rsidR="000002F1" w:rsidRPr="000002F1">
        <w:rPr>
          <w:rFonts w:asciiTheme="majorHAnsi" w:eastAsia="Times New Roman" w:hAnsiTheme="majorHAnsi" w:cs="Times New Roman"/>
          <w:sz w:val="24"/>
          <w:szCs w:val="24"/>
          <w:lang w:eastAsia="fr-FR"/>
        </w:rPr>
        <w:t>, c'est-à-dire la capacité à engager un volume de capitaux qui soit un multiple plus ou moins grand de la valeur de leurs </w:t>
      </w:r>
      <w:hyperlink r:id="rId84" w:anchor="xtor=SEC-3168" w:tooltip="Définition de Capitaux propres" w:history="1">
        <w:r w:rsidR="000002F1" w:rsidRPr="000002F1">
          <w:rPr>
            <w:rFonts w:asciiTheme="majorHAnsi" w:eastAsia="Times New Roman" w:hAnsiTheme="majorHAnsi" w:cs="Times New Roman"/>
            <w:sz w:val="24"/>
            <w:szCs w:val="24"/>
            <w:lang w:eastAsia="fr-FR"/>
          </w:rPr>
          <w:t>capitaux propres</w:t>
        </w:r>
      </w:hyperlink>
      <w:r w:rsidR="000002F1" w:rsidRPr="000002F1">
        <w:rPr>
          <w:rFonts w:asciiTheme="majorHAnsi" w:eastAsia="Times New Roman" w:hAnsiTheme="majorHAnsi" w:cs="Times New Roman"/>
          <w:sz w:val="24"/>
          <w:szCs w:val="24"/>
          <w:lang w:eastAsia="fr-FR"/>
        </w:rPr>
        <w:t xml:space="preserve">. Les </w:t>
      </w:r>
      <w:proofErr w:type="spellStart"/>
      <w:r w:rsidR="000002F1" w:rsidRPr="000002F1">
        <w:rPr>
          <w:rFonts w:asciiTheme="majorHAnsi" w:eastAsia="Times New Roman" w:hAnsiTheme="majorHAnsi" w:cs="Times New Roman"/>
          <w:sz w:val="24"/>
          <w:szCs w:val="24"/>
          <w:lang w:eastAsia="fr-FR"/>
        </w:rPr>
        <w:t>hedge</w:t>
      </w:r>
      <w:proofErr w:type="spellEnd"/>
      <w:r w:rsidR="000002F1" w:rsidRPr="000002F1">
        <w:rPr>
          <w:rFonts w:asciiTheme="majorHAnsi" w:eastAsia="Times New Roman" w:hAnsiTheme="majorHAnsi" w:cs="Times New Roman"/>
          <w:sz w:val="24"/>
          <w:szCs w:val="24"/>
          <w:lang w:eastAsia="fr-FR"/>
        </w:rPr>
        <w:t xml:space="preserve"> </w:t>
      </w:r>
      <w:proofErr w:type="spellStart"/>
      <w:r w:rsidR="000002F1" w:rsidRPr="000002F1">
        <w:rPr>
          <w:rFonts w:asciiTheme="majorHAnsi" w:eastAsia="Times New Roman" w:hAnsiTheme="majorHAnsi" w:cs="Times New Roman"/>
          <w:sz w:val="24"/>
          <w:szCs w:val="24"/>
          <w:lang w:eastAsia="fr-FR"/>
        </w:rPr>
        <w:t>funds</w:t>
      </w:r>
      <w:proofErr w:type="spellEnd"/>
      <w:r w:rsidR="000002F1" w:rsidRPr="000002F1">
        <w:rPr>
          <w:rFonts w:asciiTheme="majorHAnsi" w:eastAsia="Times New Roman" w:hAnsiTheme="majorHAnsi" w:cs="Times New Roman"/>
          <w:sz w:val="24"/>
          <w:szCs w:val="24"/>
          <w:lang w:eastAsia="fr-FR"/>
        </w:rPr>
        <w:t xml:space="preserve"> présentent l'intérêt d'offrir une diversification supplémentaire aux portefeuilles « classiques » car leurs résultats sont en théorie déconnectés des performances des marchés d'actions et d'obligations.</w:t>
      </w:r>
    </w:p>
    <w:p w:rsidR="00BF2BD6" w:rsidRPr="000002F1" w:rsidRDefault="005C7C2E" w:rsidP="000002F1">
      <w:pPr>
        <w:ind w:left="0"/>
        <w:rPr>
          <w:rFonts w:asciiTheme="majorHAnsi" w:eastAsia="Times New Roman" w:hAnsiTheme="majorHAnsi" w:cs="Times New Roman"/>
          <w:sz w:val="24"/>
          <w:szCs w:val="24"/>
          <w:lang w:eastAsia="fr-FR"/>
        </w:rPr>
      </w:pPr>
      <w:r w:rsidRPr="000002F1">
        <w:rPr>
          <w:rFonts w:asciiTheme="majorHAnsi" w:eastAsia="Times New Roman" w:hAnsiTheme="majorHAnsi" w:cs="Times New Roman"/>
          <w:b/>
          <w:sz w:val="24"/>
          <w:szCs w:val="24"/>
          <w:lang w:eastAsia="fr-FR"/>
        </w:rPr>
        <w:t>R</w:t>
      </w:r>
      <w:r w:rsidR="00BF2BD6" w:rsidRPr="000002F1">
        <w:rPr>
          <w:rFonts w:asciiTheme="majorHAnsi" w:eastAsia="Times New Roman" w:hAnsiTheme="majorHAnsi" w:cs="Times New Roman"/>
          <w:b/>
          <w:sz w:val="24"/>
          <w:szCs w:val="24"/>
          <w:lang w:eastAsia="fr-FR"/>
        </w:rPr>
        <w:t xml:space="preserve">epo </w:t>
      </w:r>
      <w:r w:rsidRPr="000002F1">
        <w:rPr>
          <w:rFonts w:asciiTheme="majorHAnsi" w:eastAsia="Times New Roman" w:hAnsiTheme="majorHAnsi" w:cs="Times New Roman"/>
          <w:b/>
          <w:sz w:val="24"/>
          <w:szCs w:val="24"/>
          <w:lang w:eastAsia="fr-FR"/>
        </w:rPr>
        <w:t>R</w:t>
      </w:r>
      <w:r w:rsidR="00BF2BD6" w:rsidRPr="000002F1">
        <w:rPr>
          <w:rFonts w:asciiTheme="majorHAnsi" w:eastAsia="Times New Roman" w:hAnsiTheme="majorHAnsi" w:cs="Times New Roman"/>
          <w:b/>
          <w:sz w:val="24"/>
          <w:szCs w:val="24"/>
          <w:lang w:eastAsia="fr-FR"/>
        </w:rPr>
        <w:t>ate</w:t>
      </w:r>
      <w:r w:rsidR="000002F1">
        <w:rPr>
          <w:rFonts w:asciiTheme="majorHAnsi" w:eastAsia="Times New Roman" w:hAnsiTheme="majorHAnsi" w:cs="Times New Roman"/>
          <w:b/>
          <w:sz w:val="24"/>
          <w:szCs w:val="24"/>
          <w:lang w:eastAsia="fr-FR"/>
        </w:rPr>
        <w:t> :</w:t>
      </w:r>
      <w:r w:rsidR="000002F1" w:rsidRPr="000002F1">
        <w:t xml:space="preserve"> </w:t>
      </w:r>
      <w:r w:rsidR="000002F1">
        <w:t xml:space="preserve">Une </w:t>
      </w:r>
      <w:r w:rsidR="000002F1" w:rsidRPr="000002F1">
        <w:rPr>
          <w:rFonts w:asciiTheme="majorHAnsi" w:eastAsia="Times New Roman" w:hAnsiTheme="majorHAnsi" w:cs="Times New Roman"/>
          <w:sz w:val="24"/>
          <w:szCs w:val="24"/>
          <w:lang w:eastAsia="fr-FR"/>
        </w:rPr>
        <w:t xml:space="preserve">opération de </w:t>
      </w:r>
      <w:r w:rsidR="000002F1">
        <w:rPr>
          <w:rFonts w:asciiTheme="majorHAnsi" w:eastAsia="Times New Roman" w:hAnsiTheme="majorHAnsi" w:cs="Times New Roman"/>
          <w:sz w:val="24"/>
          <w:szCs w:val="24"/>
          <w:lang w:eastAsia="fr-FR"/>
        </w:rPr>
        <w:t>repo</w:t>
      </w:r>
      <w:r w:rsidR="000002F1" w:rsidRPr="000002F1">
        <w:rPr>
          <w:rFonts w:asciiTheme="majorHAnsi" w:eastAsia="Times New Roman" w:hAnsiTheme="majorHAnsi" w:cs="Times New Roman"/>
          <w:sz w:val="24"/>
          <w:szCs w:val="24"/>
          <w:lang w:eastAsia="fr-FR"/>
        </w:rPr>
        <w:t xml:space="preserve"> étant réalisée par une double opération d’achat et de vente, elle s’effectue en deux étapes. Tout d’abord, un emprunteur de fonds (par exemple un courtier) vend des titres à un investisseur, avec la promesse de les racheter plus tard; ces titres sont bien souvent des obligations gouvernementales. Les parties s’entendent sur la date du rachat. Dans un deuxième temps, à l’échéance, les titres sont retournés à leur propriétaire initial et les fonds, transférés au prêteur. La partie qui prend l’initiative de la cession (le prêteur de titres ou l’emprunteur de liquidités) paie un intérêt sur la base d’un taux appelé taux de pension ou taux de repo.</w:t>
      </w:r>
    </w:p>
    <w:p w:rsidR="00BF2BD6" w:rsidRPr="000002F1" w:rsidRDefault="005C7C2E" w:rsidP="000002F1">
      <w:pPr>
        <w:ind w:left="0"/>
        <w:rPr>
          <w:rFonts w:asciiTheme="majorHAnsi" w:eastAsia="Times New Roman" w:hAnsiTheme="majorHAnsi" w:cs="Times New Roman"/>
          <w:sz w:val="24"/>
          <w:szCs w:val="24"/>
          <w:lang w:eastAsia="fr-FR"/>
        </w:rPr>
      </w:pPr>
      <w:proofErr w:type="spellStart"/>
      <w:r w:rsidRPr="000002F1">
        <w:rPr>
          <w:rFonts w:asciiTheme="majorHAnsi" w:eastAsia="Times New Roman" w:hAnsiTheme="majorHAnsi" w:cs="Times New Roman"/>
          <w:b/>
          <w:sz w:val="24"/>
          <w:szCs w:val="24"/>
          <w:lang w:eastAsia="fr-FR"/>
        </w:rPr>
        <w:t>E</w:t>
      </w:r>
      <w:r w:rsidR="00BF2BD6" w:rsidRPr="000002F1">
        <w:rPr>
          <w:rFonts w:asciiTheme="majorHAnsi" w:eastAsia="Times New Roman" w:hAnsiTheme="majorHAnsi" w:cs="Times New Roman"/>
          <w:b/>
          <w:sz w:val="24"/>
          <w:szCs w:val="24"/>
          <w:lang w:eastAsia="fr-FR"/>
        </w:rPr>
        <w:t>onia</w:t>
      </w:r>
      <w:proofErr w:type="spellEnd"/>
      <w:r w:rsidR="000002F1" w:rsidRPr="000002F1">
        <w:rPr>
          <w:rFonts w:asciiTheme="majorHAnsi" w:eastAsia="Times New Roman" w:hAnsiTheme="majorHAnsi" w:cs="Times New Roman"/>
          <w:b/>
          <w:sz w:val="24"/>
          <w:szCs w:val="24"/>
          <w:lang w:eastAsia="fr-FR"/>
        </w:rPr>
        <w:t> :</w:t>
      </w:r>
      <w:r w:rsidR="000002F1" w:rsidRPr="000002F1">
        <w:rPr>
          <w:rFonts w:asciiTheme="majorHAnsi" w:eastAsia="Times New Roman" w:hAnsiTheme="majorHAnsi" w:cs="Times New Roman"/>
          <w:sz w:val="24"/>
          <w:szCs w:val="24"/>
          <w:lang w:eastAsia="fr-FR"/>
        </w:rPr>
        <w:t xml:space="preserve"> Il s'agit de la moyenne, pondérée par les montants, des taux effectivement traités sur le </w:t>
      </w:r>
      <w:hyperlink r:id="rId85" w:tooltip="Marché monétaire" w:history="1">
        <w:r w:rsidR="000002F1" w:rsidRPr="000002F1">
          <w:rPr>
            <w:rFonts w:asciiTheme="majorHAnsi" w:eastAsia="Times New Roman" w:hAnsiTheme="majorHAnsi" w:cs="Times New Roman"/>
            <w:sz w:val="24"/>
            <w:szCs w:val="24"/>
            <w:lang w:eastAsia="fr-FR"/>
          </w:rPr>
          <w:t>marché monétaire</w:t>
        </w:r>
      </w:hyperlink>
      <w:r w:rsidR="000002F1" w:rsidRPr="000002F1">
        <w:rPr>
          <w:rFonts w:asciiTheme="majorHAnsi" w:eastAsia="Times New Roman" w:hAnsiTheme="majorHAnsi" w:cs="Times New Roman"/>
          <w:sz w:val="24"/>
          <w:szCs w:val="24"/>
          <w:lang w:eastAsia="fr-FR"/>
        </w:rPr>
        <w:t> interbancaire de l'euro pendant la journée par un large échantillon</w:t>
      </w:r>
      <w:hyperlink r:id="rId86" w:anchor="cite_note-.C3.A9chantillon-1" w:history="1">
        <w:r w:rsidR="000002F1" w:rsidRPr="000002F1">
          <w:rPr>
            <w:rFonts w:asciiTheme="majorHAnsi" w:eastAsia="Times New Roman" w:hAnsiTheme="majorHAnsi" w:cs="Times New Roman"/>
            <w:sz w:val="24"/>
            <w:szCs w:val="24"/>
            <w:lang w:eastAsia="fr-FR"/>
          </w:rPr>
          <w:t>1</w:t>
        </w:r>
      </w:hyperlink>
      <w:r w:rsidR="000002F1" w:rsidRPr="000002F1">
        <w:rPr>
          <w:rFonts w:asciiTheme="majorHAnsi" w:eastAsia="Times New Roman" w:hAnsiTheme="majorHAnsi" w:cs="Times New Roman"/>
          <w:sz w:val="24"/>
          <w:szCs w:val="24"/>
          <w:lang w:eastAsia="fr-FR"/>
        </w:rPr>
        <w:t> de grandes banques, pour les dépôts/prêts jusqu'au lendemain ouvré. C'est l'un des deux taux de référence du marché monétaire de la zone euro, avec l'</w:t>
      </w:r>
      <w:proofErr w:type="spellStart"/>
      <w:r w:rsidR="000002F1" w:rsidRPr="000002F1">
        <w:rPr>
          <w:rFonts w:asciiTheme="majorHAnsi" w:eastAsia="Times New Roman" w:hAnsiTheme="majorHAnsi" w:cs="Times New Roman"/>
          <w:sz w:val="24"/>
          <w:szCs w:val="24"/>
          <w:lang w:eastAsia="fr-FR"/>
        </w:rPr>
        <w:fldChar w:fldCharType="begin"/>
      </w:r>
      <w:r w:rsidR="000002F1" w:rsidRPr="000002F1">
        <w:rPr>
          <w:rFonts w:asciiTheme="majorHAnsi" w:eastAsia="Times New Roman" w:hAnsiTheme="majorHAnsi" w:cs="Times New Roman"/>
          <w:sz w:val="24"/>
          <w:szCs w:val="24"/>
          <w:lang w:eastAsia="fr-FR"/>
        </w:rPr>
        <w:instrText xml:space="preserve"> HYPERLINK "https://fr.wikipedia.org/wiki/Euribor" \o "Euribor" </w:instrText>
      </w:r>
      <w:r w:rsidR="000002F1" w:rsidRPr="000002F1">
        <w:rPr>
          <w:rFonts w:asciiTheme="majorHAnsi" w:eastAsia="Times New Roman" w:hAnsiTheme="majorHAnsi" w:cs="Times New Roman"/>
          <w:sz w:val="24"/>
          <w:szCs w:val="24"/>
          <w:lang w:eastAsia="fr-FR"/>
        </w:rPr>
        <w:fldChar w:fldCharType="separate"/>
      </w:r>
      <w:r w:rsidR="000002F1" w:rsidRPr="000002F1">
        <w:rPr>
          <w:rFonts w:asciiTheme="majorHAnsi" w:eastAsia="Times New Roman" w:hAnsiTheme="majorHAnsi" w:cs="Times New Roman"/>
          <w:sz w:val="24"/>
          <w:szCs w:val="24"/>
          <w:lang w:eastAsia="fr-FR"/>
        </w:rPr>
        <w:t>Euribor</w:t>
      </w:r>
      <w:proofErr w:type="spellEnd"/>
      <w:r w:rsidR="000002F1" w:rsidRPr="000002F1">
        <w:rPr>
          <w:rFonts w:asciiTheme="majorHAnsi" w:eastAsia="Times New Roman" w:hAnsiTheme="majorHAnsi" w:cs="Times New Roman"/>
          <w:sz w:val="24"/>
          <w:szCs w:val="24"/>
          <w:lang w:eastAsia="fr-FR"/>
        </w:rPr>
        <w:fldChar w:fldCharType="end"/>
      </w:r>
      <w:r w:rsidR="000002F1" w:rsidRPr="000002F1">
        <w:rPr>
          <w:rFonts w:asciiTheme="majorHAnsi" w:eastAsia="Times New Roman" w:hAnsiTheme="majorHAnsi" w:cs="Times New Roman"/>
          <w:sz w:val="24"/>
          <w:szCs w:val="24"/>
          <w:lang w:eastAsia="fr-FR"/>
        </w:rPr>
        <w:t>, qui couvre les durées allant d'une semaine à un an.</w:t>
      </w:r>
    </w:p>
    <w:p w:rsidR="003F4AC0" w:rsidRDefault="000002F1" w:rsidP="000002F1">
      <w:pPr>
        <w:ind w:left="0"/>
        <w:rPr>
          <w:rFonts w:asciiTheme="majorHAnsi" w:eastAsia="Times New Roman" w:hAnsiTheme="majorHAnsi" w:cs="Times New Roman"/>
          <w:sz w:val="24"/>
          <w:szCs w:val="24"/>
          <w:lang w:eastAsia="fr-FR"/>
        </w:rPr>
        <w:sectPr w:rsidR="003F4AC0" w:rsidSect="003D6DC2">
          <w:headerReference w:type="default" r:id="rId87"/>
          <w:pgSz w:w="11906" w:h="16838"/>
          <w:pgMar w:top="1417" w:right="1417" w:bottom="1417" w:left="1417" w:header="3" w:footer="191" w:gutter="0"/>
          <w:cols w:space="708"/>
          <w:docGrid w:linePitch="360"/>
        </w:sectPr>
      </w:pPr>
      <w:proofErr w:type="spellStart"/>
      <w:r w:rsidRPr="000002F1">
        <w:rPr>
          <w:rFonts w:asciiTheme="majorHAnsi" w:eastAsia="Times New Roman" w:hAnsiTheme="majorHAnsi" w:cs="Times New Roman"/>
          <w:b/>
          <w:sz w:val="24"/>
          <w:szCs w:val="24"/>
          <w:lang w:eastAsia="fr-FR"/>
        </w:rPr>
        <w:t>Vasiceck</w:t>
      </w:r>
      <w:proofErr w:type="spellEnd"/>
      <w:r>
        <w:t xml:space="preserve"> </w:t>
      </w:r>
      <w:r w:rsidRPr="000002F1">
        <w:rPr>
          <w:rFonts w:asciiTheme="majorHAnsi" w:eastAsia="Times New Roman" w:hAnsiTheme="majorHAnsi" w:cs="Times New Roman"/>
          <w:sz w:val="24"/>
          <w:szCs w:val="24"/>
          <w:lang w:eastAsia="fr-FR"/>
        </w:rPr>
        <w:t xml:space="preserve">La modélisation stochastique des taux d’intérêt à véritablement commencé avec le modèle de </w:t>
      </w:r>
      <w:proofErr w:type="spellStart"/>
      <w:r w:rsidRPr="000002F1">
        <w:rPr>
          <w:rFonts w:asciiTheme="majorHAnsi" w:eastAsia="Times New Roman" w:hAnsiTheme="majorHAnsi" w:cs="Times New Roman"/>
          <w:sz w:val="24"/>
          <w:szCs w:val="24"/>
          <w:lang w:eastAsia="fr-FR"/>
        </w:rPr>
        <w:t>Vasicek</w:t>
      </w:r>
      <w:proofErr w:type="spellEnd"/>
      <w:r w:rsidRPr="000002F1">
        <w:rPr>
          <w:rFonts w:asciiTheme="majorHAnsi" w:eastAsia="Times New Roman" w:hAnsiTheme="majorHAnsi" w:cs="Times New Roman"/>
          <w:sz w:val="24"/>
          <w:szCs w:val="24"/>
          <w:lang w:eastAsia="fr-FR"/>
        </w:rPr>
        <w:t xml:space="preserve"> en 1977. Il a été l’un des sujets en finance qi a eu un impact considérable au cours des vingt dernières années. Les travaux de </w:t>
      </w:r>
      <w:proofErr w:type="spellStart"/>
      <w:r w:rsidRPr="000002F1">
        <w:rPr>
          <w:rFonts w:asciiTheme="majorHAnsi" w:eastAsia="Times New Roman" w:hAnsiTheme="majorHAnsi" w:cs="Times New Roman"/>
          <w:sz w:val="24"/>
          <w:szCs w:val="24"/>
          <w:lang w:eastAsia="fr-FR"/>
        </w:rPr>
        <w:t>Vasicek</w:t>
      </w:r>
      <w:proofErr w:type="spellEnd"/>
      <w:r w:rsidRPr="000002F1">
        <w:rPr>
          <w:rFonts w:asciiTheme="majorHAnsi" w:eastAsia="Times New Roman" w:hAnsiTheme="majorHAnsi" w:cs="Times New Roman"/>
          <w:sz w:val="24"/>
          <w:szCs w:val="24"/>
          <w:lang w:eastAsia="fr-FR"/>
        </w:rPr>
        <w:t xml:space="preserve"> ont permis présenter un processus, d’</w:t>
      </w:r>
      <w:proofErr w:type="spellStart"/>
      <w:r w:rsidRPr="000002F1">
        <w:rPr>
          <w:rFonts w:asciiTheme="majorHAnsi" w:eastAsia="Times New Roman" w:hAnsiTheme="majorHAnsi" w:cs="Times New Roman"/>
          <w:sz w:val="24"/>
          <w:szCs w:val="24"/>
          <w:lang w:eastAsia="fr-FR"/>
        </w:rPr>
        <w:t>Ornstein</w:t>
      </w:r>
      <w:proofErr w:type="spellEnd"/>
      <w:r w:rsidRPr="000002F1">
        <w:rPr>
          <w:rFonts w:asciiTheme="majorHAnsi" w:eastAsia="Times New Roman" w:hAnsiTheme="majorHAnsi" w:cs="Times New Roman"/>
          <w:sz w:val="24"/>
          <w:szCs w:val="24"/>
          <w:lang w:eastAsia="fr-FR"/>
        </w:rPr>
        <w:t>-Uhlenbeck dont le taux d’intérêt ne dépend que du taux instantané mais autorisant des taux négatifs. Par la suite, nous allons présenter le processus CIR qui est un modèle affine de taux court qui a permis de remédier à cette lacune mais ne satisfait pas les spécialiste du fait de la difficulté d’</w:t>
      </w:r>
      <w:proofErr w:type="spellStart"/>
      <w:r w:rsidRPr="000002F1">
        <w:rPr>
          <w:rFonts w:asciiTheme="majorHAnsi" w:eastAsia="Times New Roman" w:hAnsiTheme="majorHAnsi" w:cs="Times New Roman"/>
          <w:sz w:val="24"/>
          <w:szCs w:val="24"/>
          <w:lang w:eastAsia="fr-FR"/>
        </w:rPr>
        <w:t>intérprétation</w:t>
      </w:r>
      <w:proofErr w:type="spellEnd"/>
      <w:r w:rsidRPr="000002F1">
        <w:rPr>
          <w:rFonts w:asciiTheme="majorHAnsi" w:eastAsia="Times New Roman" w:hAnsiTheme="majorHAnsi" w:cs="Times New Roman"/>
          <w:sz w:val="24"/>
          <w:szCs w:val="24"/>
          <w:lang w:eastAsia="fr-FR"/>
        </w:rPr>
        <w:t xml:space="preserve"> financière des paramètres de diffusion et de leur incapacité à reproduire exactement la courbe de taux zéro-coupon </w:t>
      </w:r>
      <w:proofErr w:type="spellStart"/>
      <w:r w:rsidRPr="000002F1">
        <w:rPr>
          <w:rFonts w:asciiTheme="majorHAnsi" w:eastAsia="Times New Roman" w:hAnsiTheme="majorHAnsi" w:cs="Times New Roman"/>
          <w:sz w:val="24"/>
          <w:szCs w:val="24"/>
          <w:lang w:eastAsia="fr-FR"/>
        </w:rPr>
        <w:t>spo</w:t>
      </w:r>
      <w:r>
        <w:rPr>
          <w:rFonts w:asciiTheme="majorHAnsi" w:eastAsia="Times New Roman" w:hAnsiTheme="majorHAnsi" w:cs="Times New Roman"/>
          <w:sz w:val="24"/>
          <w:szCs w:val="24"/>
          <w:lang w:eastAsia="fr-FR"/>
        </w:rPr>
        <w:t>t</w:t>
      </w:r>
      <w:r w:rsidRPr="000002F1">
        <w:rPr>
          <w:rFonts w:asciiTheme="majorHAnsi" w:eastAsia="Times New Roman" w:hAnsiTheme="majorHAnsi" w:cs="Times New Roman"/>
          <w:sz w:val="24"/>
          <w:szCs w:val="24"/>
          <w:lang w:eastAsia="fr-FR"/>
        </w:rPr>
        <w:t>Dans</w:t>
      </w:r>
      <w:proofErr w:type="spellEnd"/>
      <w:r w:rsidRPr="000002F1">
        <w:rPr>
          <w:rFonts w:asciiTheme="majorHAnsi" w:eastAsia="Times New Roman" w:hAnsiTheme="majorHAnsi" w:cs="Times New Roman"/>
          <w:sz w:val="24"/>
          <w:szCs w:val="24"/>
          <w:lang w:eastAsia="fr-FR"/>
        </w:rPr>
        <w:t xml:space="preserve"> le modèle à un facteur de </w:t>
      </w:r>
      <w:proofErr w:type="spellStart"/>
      <w:r w:rsidRPr="000002F1">
        <w:rPr>
          <w:rFonts w:asciiTheme="majorHAnsi" w:eastAsia="Times New Roman" w:hAnsiTheme="majorHAnsi" w:cs="Times New Roman"/>
          <w:sz w:val="24"/>
          <w:szCs w:val="24"/>
          <w:lang w:eastAsia="fr-FR"/>
        </w:rPr>
        <w:t>Vasicek</w:t>
      </w:r>
      <w:proofErr w:type="spellEnd"/>
      <w:r w:rsidRPr="000002F1">
        <w:rPr>
          <w:rFonts w:asciiTheme="majorHAnsi" w:eastAsia="Times New Roman" w:hAnsiTheme="majorHAnsi" w:cs="Times New Roman"/>
          <w:sz w:val="24"/>
          <w:szCs w:val="24"/>
          <w:lang w:eastAsia="fr-FR"/>
        </w:rPr>
        <w:t xml:space="preserve">, le taux court r guide l’évolution de </w:t>
      </w:r>
      <w:r w:rsidR="003F4AC0">
        <w:rPr>
          <w:rFonts w:asciiTheme="majorHAnsi" w:eastAsia="Times New Roman" w:hAnsiTheme="majorHAnsi" w:cs="Times New Roman"/>
          <w:sz w:val="24"/>
          <w:szCs w:val="24"/>
          <w:lang w:eastAsia="fr-FR"/>
        </w:rPr>
        <w:t>l’ensemble de la courbe des tau</w:t>
      </w:r>
    </w:p>
    <w:p w:rsidR="005C7C2E" w:rsidRDefault="005C7C2E" w:rsidP="003F4AC0">
      <w:pPr>
        <w:ind w:left="0"/>
      </w:pPr>
    </w:p>
    <w:p w:rsidR="00C546C4" w:rsidRPr="000002F1" w:rsidRDefault="00FC2998" w:rsidP="00BF2BD6">
      <w:pPr>
        <w:pStyle w:val="Heading1"/>
        <w:numPr>
          <w:ilvl w:val="0"/>
          <w:numId w:val="0"/>
        </w:numPr>
        <w:ind w:left="432"/>
      </w:pPr>
      <w:bookmarkStart w:id="48" w:name="_Toc494147810"/>
      <w:r w:rsidRPr="000002F1">
        <w:t>Références</w:t>
      </w:r>
      <w:bookmarkEnd w:id="48"/>
    </w:p>
    <w:p w:rsidR="005C7C2E" w:rsidRPr="005C7C2E" w:rsidRDefault="00FC2998" w:rsidP="005C7C2E">
      <w:pPr>
        <w:pStyle w:val="ListParagraph"/>
        <w:numPr>
          <w:ilvl w:val="0"/>
          <w:numId w:val="2"/>
        </w:numPr>
        <w:rPr>
          <w:sz w:val="24"/>
          <w:lang w:val="en-US"/>
        </w:rPr>
      </w:pPr>
      <w:r w:rsidRPr="005C7C2E">
        <w:rPr>
          <w:sz w:val="24"/>
          <w:lang w:val="en-US"/>
        </w:rPr>
        <w:t xml:space="preserve">References: Bank of England Paper: Central counterparties: what are they, why do they matter and how does the Bank supervise them? By </w:t>
      </w:r>
      <w:proofErr w:type="spellStart"/>
      <w:r w:rsidRPr="005C7C2E">
        <w:rPr>
          <w:sz w:val="24"/>
          <w:lang w:val="en-US"/>
        </w:rPr>
        <w:t>Amandeep</w:t>
      </w:r>
      <w:proofErr w:type="spellEnd"/>
      <w:r w:rsidRPr="005C7C2E">
        <w:rPr>
          <w:sz w:val="24"/>
          <w:lang w:val="en-US"/>
        </w:rPr>
        <w:t xml:space="preserve"> </w:t>
      </w:r>
      <w:proofErr w:type="spellStart"/>
      <w:r w:rsidRPr="005C7C2E">
        <w:rPr>
          <w:sz w:val="24"/>
          <w:lang w:val="en-US"/>
        </w:rPr>
        <w:t>Rehlon</w:t>
      </w:r>
      <w:proofErr w:type="spellEnd"/>
      <w:r w:rsidRPr="005C7C2E">
        <w:rPr>
          <w:sz w:val="24"/>
          <w:lang w:val="en-US"/>
        </w:rPr>
        <w:t xml:space="preserve"> of the Bank’s Market Infrastructure Division and Dan Nixon of the Bank’s Media &amp; Publications Division. </w:t>
      </w:r>
    </w:p>
    <w:p w:rsidR="005C7C2E" w:rsidRPr="005C7C2E" w:rsidRDefault="005C7C2E" w:rsidP="005C7C2E">
      <w:pPr>
        <w:pStyle w:val="ListParagraph"/>
        <w:ind w:left="786"/>
        <w:rPr>
          <w:sz w:val="24"/>
          <w:lang w:val="en-US"/>
        </w:rPr>
      </w:pPr>
    </w:p>
    <w:p w:rsidR="005C7C2E" w:rsidRPr="005C7C2E" w:rsidRDefault="00FC2998" w:rsidP="005C7C2E">
      <w:pPr>
        <w:pStyle w:val="ListParagraph"/>
        <w:numPr>
          <w:ilvl w:val="0"/>
          <w:numId w:val="2"/>
        </w:numPr>
        <w:rPr>
          <w:sz w:val="24"/>
          <w:lang w:val="en-US"/>
        </w:rPr>
      </w:pPr>
      <w:r w:rsidRPr="005C7C2E">
        <w:rPr>
          <w:sz w:val="24"/>
          <w:lang w:val="en-US"/>
        </w:rPr>
        <w:t>qb1302ccpsbs.pdf Basel Committee on Banking Supervision (BCBS), Basel III: The Liquidity Coverage Ratio and liquidity risk monitoring tools (January 2013</w:t>
      </w:r>
    </w:p>
    <w:p w:rsidR="005C7C2E" w:rsidRPr="005C7C2E" w:rsidRDefault="005C7C2E" w:rsidP="005C7C2E">
      <w:pPr>
        <w:pStyle w:val="ListParagraph"/>
        <w:ind w:left="786"/>
        <w:rPr>
          <w:sz w:val="24"/>
          <w:lang w:val="en-US"/>
        </w:rPr>
      </w:pPr>
    </w:p>
    <w:p w:rsidR="005C7C2E" w:rsidRPr="005C7C2E" w:rsidRDefault="00FC2998" w:rsidP="005C7C2E">
      <w:pPr>
        <w:pStyle w:val="ListParagraph"/>
        <w:numPr>
          <w:ilvl w:val="0"/>
          <w:numId w:val="2"/>
        </w:numPr>
        <w:rPr>
          <w:sz w:val="24"/>
          <w:lang w:val="en-US"/>
        </w:rPr>
      </w:pPr>
      <w:r w:rsidRPr="005C7C2E">
        <w:rPr>
          <w:sz w:val="24"/>
          <w:lang w:val="en-US"/>
        </w:rPr>
        <w:t xml:space="preserve"> Basel Committee on Banking Supervision, Basel III: The Net Stable Funding Ratio (October 2014). Available at http://www.bis.org/bcbs/publ/d295.htm BNY Mellon 2015 Q1 10Q filing. </w:t>
      </w:r>
    </w:p>
    <w:p w:rsidR="005C7C2E" w:rsidRPr="005C7C2E" w:rsidRDefault="005C7C2E" w:rsidP="005C7C2E">
      <w:pPr>
        <w:pStyle w:val="ListParagraph"/>
        <w:rPr>
          <w:sz w:val="24"/>
          <w:lang w:val="en-US"/>
        </w:rPr>
      </w:pPr>
    </w:p>
    <w:p w:rsidR="005C7C2E" w:rsidRPr="005C7C2E" w:rsidRDefault="00FC2998" w:rsidP="005C7C2E">
      <w:pPr>
        <w:pStyle w:val="ListParagraph"/>
        <w:numPr>
          <w:ilvl w:val="0"/>
          <w:numId w:val="2"/>
        </w:numPr>
        <w:rPr>
          <w:sz w:val="24"/>
          <w:lang w:val="en-US"/>
        </w:rPr>
      </w:pPr>
      <w:r w:rsidRPr="005C7C2E">
        <w:rPr>
          <w:sz w:val="24"/>
          <w:lang w:val="en-US"/>
        </w:rPr>
        <w:t xml:space="preserve">BIS Committee on the Global Financial System (CGFS) Paper no.49 entitled: Asset encumbrance, financial reform and the demand for collateral assets (May 2013). </w:t>
      </w:r>
    </w:p>
    <w:p w:rsidR="005C7C2E" w:rsidRPr="005C7C2E" w:rsidRDefault="005C7C2E" w:rsidP="005C7C2E">
      <w:pPr>
        <w:pStyle w:val="ListParagraph"/>
        <w:rPr>
          <w:sz w:val="24"/>
          <w:lang w:val="en-US"/>
        </w:rPr>
      </w:pPr>
    </w:p>
    <w:p w:rsidR="005C7C2E" w:rsidRPr="005C7C2E" w:rsidRDefault="00FC2998" w:rsidP="005C7C2E">
      <w:pPr>
        <w:pStyle w:val="ListParagraph"/>
        <w:numPr>
          <w:ilvl w:val="0"/>
          <w:numId w:val="2"/>
        </w:numPr>
        <w:rPr>
          <w:sz w:val="24"/>
          <w:lang w:val="en-US"/>
        </w:rPr>
      </w:pPr>
      <w:r w:rsidRPr="005C7C2E">
        <w:rPr>
          <w:sz w:val="24"/>
          <w:lang w:val="en-US"/>
        </w:rPr>
        <w:t xml:space="preserve">Committee on Payments and Market Infrastructure: Developments in Collateral Management Services (September 2014). </w:t>
      </w:r>
    </w:p>
    <w:p w:rsidR="005C7C2E" w:rsidRPr="005C7C2E" w:rsidRDefault="005C7C2E" w:rsidP="005C7C2E">
      <w:pPr>
        <w:pStyle w:val="ListParagraph"/>
        <w:rPr>
          <w:sz w:val="24"/>
          <w:lang w:val="en-US"/>
        </w:rPr>
      </w:pPr>
    </w:p>
    <w:p w:rsidR="005C7C2E" w:rsidRPr="005C7C2E" w:rsidRDefault="00FC2998" w:rsidP="005C7C2E">
      <w:pPr>
        <w:pStyle w:val="ListParagraph"/>
        <w:numPr>
          <w:ilvl w:val="0"/>
          <w:numId w:val="2"/>
        </w:numPr>
        <w:rPr>
          <w:sz w:val="24"/>
          <w:lang w:val="en-US"/>
        </w:rPr>
      </w:pPr>
      <w:r w:rsidRPr="005C7C2E">
        <w:rPr>
          <w:sz w:val="24"/>
          <w:lang w:val="en-US"/>
        </w:rPr>
        <w:t xml:space="preserve">Developments in the global securities lending market. London: Bank of England (2011). Dive, M., Hodge, R., Jones, C., &amp; Purchase, J. </w:t>
      </w:r>
    </w:p>
    <w:p w:rsidR="005C7C2E" w:rsidRPr="005C7C2E" w:rsidRDefault="005C7C2E" w:rsidP="005C7C2E">
      <w:pPr>
        <w:pStyle w:val="ListParagraph"/>
        <w:rPr>
          <w:sz w:val="24"/>
          <w:lang w:val="en-US"/>
        </w:rPr>
      </w:pPr>
    </w:p>
    <w:p w:rsidR="005C7C2E" w:rsidRPr="005C7C2E" w:rsidRDefault="00FC2998" w:rsidP="005C7C2E">
      <w:pPr>
        <w:pStyle w:val="ListParagraph"/>
        <w:numPr>
          <w:ilvl w:val="0"/>
          <w:numId w:val="2"/>
        </w:numPr>
        <w:rPr>
          <w:sz w:val="24"/>
          <w:lang w:val="en-US"/>
        </w:rPr>
      </w:pPr>
      <w:r w:rsidRPr="005C7C2E">
        <w:rPr>
          <w:sz w:val="24"/>
          <w:lang w:val="en-US"/>
        </w:rPr>
        <w:t xml:space="preserve">Financial Stability Board, Strengthening Oversight and Regulation of Shadow Banking: Regulatory framework for haircuts on non-centrally cleared securities financing transactions (October 14 2014). </w:t>
      </w:r>
    </w:p>
    <w:p w:rsidR="005C7C2E" w:rsidRPr="005C7C2E" w:rsidRDefault="005C7C2E" w:rsidP="00803B6C">
      <w:pPr>
        <w:pStyle w:val="ListParagraph"/>
        <w:numPr>
          <w:ilvl w:val="0"/>
          <w:numId w:val="2"/>
        </w:numPr>
        <w:rPr>
          <w:sz w:val="24"/>
          <w:lang w:val="en-US"/>
        </w:rPr>
      </w:pPr>
    </w:p>
    <w:p w:rsidR="00FA0F83" w:rsidRPr="00803B6C" w:rsidRDefault="00FC2998" w:rsidP="00803B6C">
      <w:pPr>
        <w:pStyle w:val="ListParagraph"/>
        <w:numPr>
          <w:ilvl w:val="0"/>
          <w:numId w:val="2"/>
        </w:numPr>
        <w:rPr>
          <w:sz w:val="24"/>
          <w:lang w:val="en-US"/>
        </w:rPr>
      </w:pPr>
      <w:r w:rsidRPr="00803B6C">
        <w:rPr>
          <w:sz w:val="24"/>
          <w:lang w:val="en-US"/>
        </w:rPr>
        <w:t xml:space="preserve">IMF Working Paper: Research Department and Institute for Capacity Development. The Regulatory Responses to the Global Financial Crisis: Some Uncomfortable Questions (March 2014). Prepared by </w:t>
      </w:r>
      <w:proofErr w:type="spellStart"/>
      <w:r w:rsidRPr="00803B6C">
        <w:rPr>
          <w:sz w:val="24"/>
          <w:lang w:val="en-US"/>
        </w:rPr>
        <w:t>Stijn</w:t>
      </w:r>
      <w:proofErr w:type="spellEnd"/>
      <w:r w:rsidRPr="00803B6C">
        <w:rPr>
          <w:sz w:val="24"/>
          <w:lang w:val="en-US"/>
        </w:rPr>
        <w:t xml:space="preserve"> </w:t>
      </w:r>
      <w:proofErr w:type="spellStart"/>
      <w:r w:rsidRPr="00803B6C">
        <w:rPr>
          <w:sz w:val="24"/>
          <w:lang w:val="en-US"/>
        </w:rPr>
        <w:t>Claessens</w:t>
      </w:r>
      <w:proofErr w:type="spellEnd"/>
      <w:r w:rsidRPr="00803B6C">
        <w:rPr>
          <w:sz w:val="24"/>
          <w:lang w:val="en-US"/>
        </w:rPr>
        <w:t xml:space="preserve"> and Laura </w:t>
      </w:r>
      <w:proofErr w:type="spellStart"/>
      <w:r w:rsidRPr="00803B6C">
        <w:rPr>
          <w:sz w:val="24"/>
          <w:lang w:val="en-US"/>
        </w:rPr>
        <w:t>Kodres</w:t>
      </w:r>
      <w:proofErr w:type="spellEnd"/>
      <w:r w:rsidRPr="00803B6C">
        <w:rPr>
          <w:sz w:val="24"/>
          <w:lang w:val="en-US"/>
        </w:rPr>
        <w:t xml:space="preserve">. International Capital Market Association (ICMA) European Repo Market Survey (2013, February). </w:t>
      </w:r>
    </w:p>
    <w:sectPr w:rsidR="00FA0F83" w:rsidRPr="00803B6C" w:rsidSect="003D6DC2">
      <w:headerReference w:type="default" r:id="rId88"/>
      <w:pgSz w:w="11906" w:h="16838"/>
      <w:pgMar w:top="1417" w:right="1417" w:bottom="1417" w:left="1417" w:header="3" w:footer="19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32CF5" w:rsidRDefault="00E32CF5" w:rsidP="007845AB">
      <w:pPr>
        <w:spacing w:after="0" w:line="240" w:lineRule="auto"/>
      </w:pPr>
      <w:r>
        <w:separator/>
      </w:r>
    </w:p>
    <w:p w:rsidR="00E32CF5" w:rsidRDefault="00E32CF5"/>
    <w:p w:rsidR="00E32CF5" w:rsidRDefault="00E32CF5"/>
  </w:endnote>
  <w:endnote w:type="continuationSeparator" w:id="0">
    <w:p w:rsidR="00E32CF5" w:rsidRDefault="00E32CF5" w:rsidP="007845AB">
      <w:pPr>
        <w:spacing w:after="0" w:line="240" w:lineRule="auto"/>
      </w:pPr>
      <w:r>
        <w:continuationSeparator/>
      </w:r>
    </w:p>
    <w:p w:rsidR="00E32CF5" w:rsidRDefault="00E32CF5"/>
    <w:p w:rsidR="00E32CF5" w:rsidRDefault="00E32CF5"/>
  </w:endnote>
</w:endnotes>
</file>

<file path=word/fontTable.xml><?xml version="1.0" encoding="utf-8"?>
<w:fonts xmlns:r="http://schemas.openxmlformats.org/officeDocument/2006/relationships" xmlns:w="http://schemas.openxmlformats.org/wordprocessingml/2006/main">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URWGothicL-DemiObli">
    <w:panose1 w:val="00000000000000000000"/>
    <w:charset w:val="00"/>
    <w:family w:val="auto"/>
    <w:notTrueType/>
    <w:pitch w:val="default"/>
    <w:sig w:usb0="00000003" w:usb1="00000000" w:usb2="00000000" w:usb3="00000000" w:csb0="00000001" w:csb1="00000000"/>
  </w:font>
  <w:font w:name="Arabic Typesetting">
    <w:altName w:val="Courier New"/>
    <w:charset w:val="00"/>
    <w:family w:val="script"/>
    <w:pitch w:val="variable"/>
    <w:sig w:usb0="00000000" w:usb1="C0000000" w:usb2="00000008" w:usb3="00000000" w:csb0="000000D3" w:csb1="00000000"/>
  </w:font>
  <w:font w:name="Adobe Caslon Pro">
    <w:panose1 w:val="0205050205050A020403"/>
    <w:charset w:val="00"/>
    <w:family w:val="roman"/>
    <w:notTrueType/>
    <w:pitch w:val="variable"/>
    <w:sig w:usb0="00000007" w:usb1="00000001" w:usb2="00000000" w:usb3="00000000" w:csb0="00000093" w:csb1="00000000"/>
  </w:font>
  <w:font w:name="Estrangelo Edessa">
    <w:altName w:val="Times New Roman"/>
    <w:panose1 w:val="00000000000000000000"/>
    <w:charset w:val="01"/>
    <w:family w:val="roman"/>
    <w:notTrueType/>
    <w:pitch w:val="variable"/>
    <w:sig w:usb0="00000000" w:usb1="00000000" w:usb2="00000000" w:usb3="00000000" w:csb0="00000000" w:csb1="00000000"/>
  </w:font>
  <w:font w:name="Calisto MT">
    <w:panose1 w:val="02040603050505030304"/>
    <w:charset w:val="00"/>
    <w:family w:val="roman"/>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SapientSansRegular">
    <w:altName w:val="Times New Roman"/>
    <w:panose1 w:val="00000000000000000000"/>
    <w:charset w:val="00"/>
    <w:family w:val="roman"/>
    <w:notTrueType/>
    <w:pitch w:val="default"/>
    <w:sig w:usb0="00000000" w:usb1="00000000" w:usb2="00000000" w:usb3="00000000" w:csb0="00000000" w:csb1="00000000"/>
  </w:font>
  <w:font w:name="Brush Script MT">
    <w:panose1 w:val="03060802040406070304"/>
    <w:charset w:val="00"/>
    <w:family w:val="script"/>
    <w:pitch w:val="variable"/>
    <w:sig w:usb0="00000003" w:usb1="00000000" w:usb2="00000000" w:usb3="00000000" w:csb0="00000001" w:csb1="00000000"/>
  </w:font>
  <w:font w:name="+mn-ea">
    <w:panose1 w:val="00000000000000000000"/>
    <w:charset w:val="00"/>
    <w:family w:val="roman"/>
    <w:notTrueType/>
    <w:pitch w:val="default"/>
    <w:sig w:usb0="00000000" w:usb1="00000000" w:usb2="00000000" w:usb3="00000000" w:csb0="00000000" w:csb1="00000000"/>
  </w:font>
  <w:font w:name="+mn-cs">
    <w:panose1 w:val="00000000000000000000"/>
    <w:charset w:val="00"/>
    <w:family w:val="roman"/>
    <w:notTrueType/>
    <w:pitch w:val="default"/>
    <w:sig w:usb0="00000000" w:usb1="00000000" w:usb2="00000000" w:usb3="00000000" w:csb0="00000000"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38271377"/>
      <w:docPartObj>
        <w:docPartGallery w:val="Page Numbers (Bottom of Page)"/>
        <w:docPartUnique/>
      </w:docPartObj>
    </w:sdtPr>
    <w:sdtContent>
      <w:p w:rsidR="00DD586D" w:rsidRDefault="00DD586D">
        <w:pPr>
          <w:pStyle w:val="Footer"/>
          <w:jc w:val="center"/>
        </w:pPr>
        <w:fldSimple w:instr=" PAGE   \* MERGEFORMAT ">
          <w:r w:rsidR="00803B6C">
            <w:rPr>
              <w:noProof/>
            </w:rPr>
            <w:t>37</w:t>
          </w:r>
        </w:fldSimple>
      </w:p>
    </w:sdtContent>
  </w:sdt>
  <w:p w:rsidR="00DD586D" w:rsidRDefault="00DD586D">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32CF5" w:rsidRDefault="00E32CF5" w:rsidP="007845AB">
      <w:pPr>
        <w:spacing w:after="0" w:line="240" w:lineRule="auto"/>
      </w:pPr>
      <w:r>
        <w:separator/>
      </w:r>
    </w:p>
    <w:p w:rsidR="00E32CF5" w:rsidRDefault="00E32CF5"/>
    <w:p w:rsidR="00E32CF5" w:rsidRDefault="00E32CF5"/>
  </w:footnote>
  <w:footnote w:type="continuationSeparator" w:id="0">
    <w:p w:rsidR="00E32CF5" w:rsidRDefault="00E32CF5" w:rsidP="007845AB">
      <w:pPr>
        <w:spacing w:after="0" w:line="240" w:lineRule="auto"/>
      </w:pPr>
      <w:r>
        <w:continuationSeparator/>
      </w:r>
    </w:p>
    <w:p w:rsidR="00E32CF5" w:rsidRDefault="00E32CF5"/>
    <w:p w:rsidR="00E32CF5" w:rsidRDefault="00E32CF5"/>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Default="00DD586D">
    <w:pPr>
      <w:pStyle w:val="Header"/>
    </w:pPr>
  </w:p>
  <w:p w:rsidR="00DD586D" w:rsidRDefault="00DD586D">
    <w:pPr>
      <w:pStyle w:val="Header"/>
    </w:pPr>
  </w:p>
  <w:p w:rsidR="00DD586D" w:rsidRDefault="00DD586D">
    <w:pPr>
      <w:pStyle w:val="Header"/>
    </w:pPr>
  </w:p>
  <w:p w:rsidR="00DD586D" w:rsidRDefault="00DD586D">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Pr="00710690" w:rsidRDefault="00DD586D" w:rsidP="00710690">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Default="00DD586D" w:rsidP="00710690">
    <w:pPr>
      <w:pStyle w:val="Style3"/>
    </w:pPr>
  </w:p>
  <w:p w:rsidR="00DD586D" w:rsidRPr="00710690" w:rsidRDefault="00DD586D" w:rsidP="00710690">
    <w:pPr>
      <w:pStyle w:val="Style3"/>
    </w:pPr>
    <w:r>
      <w:t>Table des figures</w: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Default="00DD586D" w:rsidP="00710690">
    <w:pPr>
      <w:pStyle w:val="Style3"/>
    </w:pPr>
  </w:p>
  <w:p w:rsidR="00DD586D" w:rsidRPr="00710690" w:rsidRDefault="00DD586D" w:rsidP="005A709F">
    <w:pPr>
      <w:pStyle w:val="Style3"/>
    </w:pPr>
    <w:r w:rsidRPr="005A709F">
      <w:t>Remerciements</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Default="00DD586D" w:rsidP="00710690">
    <w:pPr>
      <w:pStyle w:val="Style3"/>
    </w:pPr>
  </w:p>
  <w:p w:rsidR="00DD586D" w:rsidRPr="00710690" w:rsidRDefault="00DD586D" w:rsidP="00710690">
    <w:pPr>
      <w:pStyle w:val="Style3"/>
    </w:pPr>
    <w:r>
      <w:t>Résumé</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Default="00DD586D" w:rsidP="00710690">
    <w:pPr>
      <w:pStyle w:val="Style3"/>
    </w:pPr>
  </w:p>
  <w:p w:rsidR="00DD586D" w:rsidRPr="00710690" w:rsidRDefault="00DD586D" w:rsidP="00AA7847">
    <w:pPr>
      <w:pStyle w:val="Style3"/>
    </w:pPr>
    <w:r>
      <w:t xml:space="preserve"> Introduction</w:t>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Default="00DD586D" w:rsidP="00710690">
    <w:pPr>
      <w:pStyle w:val="Style3"/>
    </w:pPr>
  </w:p>
  <w:p w:rsidR="00DD586D" w:rsidRPr="00710690" w:rsidRDefault="00DD586D" w:rsidP="00AA7847">
    <w:pPr>
      <w:pStyle w:val="Style3"/>
    </w:pPr>
    <w:r>
      <w:t>1</w:t>
    </w:r>
    <w:r w:rsidRPr="00AA7847">
      <w:t>-</w:t>
    </w:r>
    <w:r>
      <w:t xml:space="preserve"> Cadre du stage</w:t>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Default="00DD586D" w:rsidP="00710690">
    <w:pPr>
      <w:pStyle w:val="Style3"/>
    </w:pPr>
  </w:p>
  <w:p w:rsidR="00DD586D" w:rsidRPr="00710690" w:rsidRDefault="00DD586D" w:rsidP="00AA7847">
    <w:pPr>
      <w:pStyle w:val="Style3"/>
    </w:pPr>
    <w:r>
      <w:t>3</w:t>
    </w:r>
    <w:r w:rsidRPr="00AA7847">
      <w:t>-</w:t>
    </w:r>
    <w:r>
      <w:t xml:space="preserve"> Missions et projet</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Default="00DD586D" w:rsidP="00710690">
    <w:pPr>
      <w:pStyle w:val="Style3"/>
    </w:pPr>
  </w:p>
  <w:p w:rsidR="00DD586D" w:rsidRPr="00710690" w:rsidRDefault="00DD586D" w:rsidP="00AA7847">
    <w:pPr>
      <w:pStyle w:val="Style3"/>
    </w:pPr>
    <w:r>
      <w:t>Annexe</w: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586D" w:rsidRDefault="00DD586D" w:rsidP="00710690">
    <w:pPr>
      <w:pStyle w:val="Style3"/>
    </w:pPr>
  </w:p>
  <w:p w:rsidR="00DD586D" w:rsidRPr="00710690" w:rsidRDefault="003F4AC0" w:rsidP="00AA7847">
    <w:pPr>
      <w:pStyle w:val="Style3"/>
    </w:pPr>
    <w:r>
      <w:t>Annexe</w: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AC0" w:rsidRDefault="003F4AC0" w:rsidP="00710690">
    <w:pPr>
      <w:pStyle w:val="Style3"/>
    </w:pPr>
  </w:p>
  <w:p w:rsidR="003F4AC0" w:rsidRPr="00710690" w:rsidRDefault="003F4AC0" w:rsidP="00AA7847">
    <w:pPr>
      <w:pStyle w:val="Style3"/>
    </w:pPr>
    <w:r>
      <w:t>Références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A4E5C92"/>
    <w:multiLevelType w:val="hybridMultilevel"/>
    <w:tmpl w:val="3F22837E"/>
    <w:lvl w:ilvl="0" w:tplc="E248A92E">
      <w:start w:val="5"/>
      <w:numFmt w:val="bullet"/>
      <w:lvlText w:val="-"/>
      <w:lvlJc w:val="left"/>
      <w:pPr>
        <w:ind w:left="1353" w:hanging="360"/>
      </w:pPr>
      <w:rPr>
        <w:rFonts w:ascii="Cambria" w:eastAsiaTheme="minorHAnsi" w:hAnsi="Cambria" w:cstheme="minorBidi"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
    <w:nsid w:val="4ACF1E6A"/>
    <w:multiLevelType w:val="multilevel"/>
    <w:tmpl w:val="F67EF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545348D8"/>
    <w:multiLevelType w:val="multilevel"/>
    <w:tmpl w:val="8E6A22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570E6BEF"/>
    <w:multiLevelType w:val="multilevel"/>
    <w:tmpl w:val="71A0964A"/>
    <w:lvl w:ilvl="0">
      <w:start w:val="1"/>
      <w:numFmt w:val="decimal"/>
      <w:pStyle w:val="Heading1"/>
      <w:lvlText w:val="%1"/>
      <w:lvlJc w:val="left"/>
      <w:pPr>
        <w:ind w:left="432" w:hanging="432"/>
      </w:pPr>
      <w:rPr>
        <w:rFonts w:hint="default"/>
        <w:sz w:val="40"/>
        <w:szCs w:val="56"/>
      </w:rPr>
    </w:lvl>
    <w:lvl w:ilvl="1">
      <w:start w:val="1"/>
      <w:numFmt w:val="decimal"/>
      <w:pStyle w:val="Heading2"/>
      <w:lvlText w:val="%1.%2"/>
      <w:lvlJc w:val="left"/>
      <w:pPr>
        <w:ind w:left="1144" w:hanging="576"/>
      </w:pPr>
    </w:lvl>
    <w:lvl w:ilvl="2">
      <w:start w:val="1"/>
      <w:numFmt w:val="decimal"/>
      <w:pStyle w:val="Heading3"/>
      <w:lvlText w:val="%1.%2.%3"/>
      <w:lvlJc w:val="left"/>
      <w:pPr>
        <w:ind w:left="143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nsid w:val="5C0A46CE"/>
    <w:multiLevelType w:val="hybridMultilevel"/>
    <w:tmpl w:val="0C940F06"/>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5">
    <w:nsid w:val="70181316"/>
    <w:multiLevelType w:val="hybridMultilevel"/>
    <w:tmpl w:val="582A943A"/>
    <w:lvl w:ilvl="0" w:tplc="7F5A0D6C">
      <w:start w:val="5"/>
      <w:numFmt w:val="bullet"/>
      <w:lvlText w:val="-"/>
      <w:lvlJc w:val="left"/>
      <w:pPr>
        <w:ind w:left="786" w:hanging="360"/>
      </w:pPr>
      <w:rPr>
        <w:rFonts w:ascii="Cambria" w:eastAsiaTheme="minorHAnsi" w:hAnsi="Cambria" w:cstheme="minorBidi"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6">
    <w:nsid w:val="7266076D"/>
    <w:multiLevelType w:val="hybridMultilevel"/>
    <w:tmpl w:val="F7E0034C"/>
    <w:lvl w:ilvl="0" w:tplc="E248A92E">
      <w:start w:val="5"/>
      <w:numFmt w:val="bullet"/>
      <w:lvlText w:val="-"/>
      <w:lvlJc w:val="left"/>
      <w:pPr>
        <w:ind w:left="786" w:hanging="360"/>
      </w:pPr>
      <w:rPr>
        <w:rFonts w:ascii="Cambria" w:eastAsiaTheme="minorHAnsi" w:hAnsi="Cambria" w:cstheme="minorBidi"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7">
    <w:nsid w:val="788E360C"/>
    <w:multiLevelType w:val="hybridMultilevel"/>
    <w:tmpl w:val="D82A69AE"/>
    <w:lvl w:ilvl="0" w:tplc="6C9E6188">
      <w:start w:val="1"/>
      <w:numFmt w:val="bullet"/>
      <w:lvlText w:val="o"/>
      <w:lvlJc w:val="left"/>
      <w:pPr>
        <w:tabs>
          <w:tab w:val="num" w:pos="1866"/>
        </w:tabs>
        <w:ind w:left="1866" w:hanging="360"/>
      </w:pPr>
      <w:rPr>
        <w:rFonts w:ascii="Courier New" w:hAnsi="Courier New"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num w:numId="1">
    <w:abstractNumId w:val="3"/>
  </w:num>
  <w:num w:numId="2">
    <w:abstractNumId w:val="6"/>
  </w:num>
  <w:num w:numId="3">
    <w:abstractNumId w:val="5"/>
  </w:num>
  <w:num w:numId="4">
    <w:abstractNumId w:val="1"/>
  </w:num>
  <w:num w:numId="5">
    <w:abstractNumId w:val="0"/>
  </w:num>
  <w:num w:numId="6">
    <w:abstractNumId w:val="7"/>
  </w:num>
  <w:num w:numId="7">
    <w:abstractNumId w:val="4"/>
  </w:num>
  <w:num w:numId="8">
    <w:abstractNumId w:val="2"/>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8194">
      <o:colormenu v:ext="edit" fillcolor="none" strokecolor="none"/>
    </o:shapedefaults>
  </w:hdrShapeDefaults>
  <w:footnotePr>
    <w:footnote w:id="-1"/>
    <w:footnote w:id="0"/>
  </w:footnotePr>
  <w:endnotePr>
    <w:endnote w:id="-1"/>
    <w:endnote w:id="0"/>
  </w:endnotePr>
  <w:compat/>
  <w:rsids>
    <w:rsidRoot w:val="007845AB"/>
    <w:rsid w:val="000002F1"/>
    <w:rsid w:val="00011639"/>
    <w:rsid w:val="00024019"/>
    <w:rsid w:val="00030D6A"/>
    <w:rsid w:val="00034822"/>
    <w:rsid w:val="00043A1B"/>
    <w:rsid w:val="000668E3"/>
    <w:rsid w:val="00081B7D"/>
    <w:rsid w:val="00092A21"/>
    <w:rsid w:val="000938A1"/>
    <w:rsid w:val="000A2EAF"/>
    <w:rsid w:val="000A6D52"/>
    <w:rsid w:val="000B4C82"/>
    <w:rsid w:val="000D1582"/>
    <w:rsid w:val="000D1C13"/>
    <w:rsid w:val="000D1E83"/>
    <w:rsid w:val="000E34F4"/>
    <w:rsid w:val="000E6C7E"/>
    <w:rsid w:val="000E7451"/>
    <w:rsid w:val="000F1B57"/>
    <w:rsid w:val="001468BB"/>
    <w:rsid w:val="00153332"/>
    <w:rsid w:val="001541A6"/>
    <w:rsid w:val="001634DE"/>
    <w:rsid w:val="00163632"/>
    <w:rsid w:val="00165A10"/>
    <w:rsid w:val="00181240"/>
    <w:rsid w:val="00182BB9"/>
    <w:rsid w:val="00186445"/>
    <w:rsid w:val="001943A0"/>
    <w:rsid w:val="001C6A56"/>
    <w:rsid w:val="001F6FCE"/>
    <w:rsid w:val="0024202E"/>
    <w:rsid w:val="00242560"/>
    <w:rsid w:val="002522C7"/>
    <w:rsid w:val="0027065E"/>
    <w:rsid w:val="00271DE9"/>
    <w:rsid w:val="00284A90"/>
    <w:rsid w:val="00296D64"/>
    <w:rsid w:val="002A6A61"/>
    <w:rsid w:val="002D700A"/>
    <w:rsid w:val="002E33B3"/>
    <w:rsid w:val="002E52D1"/>
    <w:rsid w:val="002E66AE"/>
    <w:rsid w:val="002F74C2"/>
    <w:rsid w:val="00302EC5"/>
    <w:rsid w:val="00316BDF"/>
    <w:rsid w:val="003177CA"/>
    <w:rsid w:val="00330604"/>
    <w:rsid w:val="00340F9E"/>
    <w:rsid w:val="003604D6"/>
    <w:rsid w:val="00370C7A"/>
    <w:rsid w:val="003A46DF"/>
    <w:rsid w:val="003B7F70"/>
    <w:rsid w:val="003D2327"/>
    <w:rsid w:val="003D45AE"/>
    <w:rsid w:val="003D6DC2"/>
    <w:rsid w:val="003E3177"/>
    <w:rsid w:val="003F4AC0"/>
    <w:rsid w:val="004530B1"/>
    <w:rsid w:val="00460D1A"/>
    <w:rsid w:val="0048423F"/>
    <w:rsid w:val="00493BBA"/>
    <w:rsid w:val="004B08B5"/>
    <w:rsid w:val="004B27D4"/>
    <w:rsid w:val="004C6088"/>
    <w:rsid w:val="004C744D"/>
    <w:rsid w:val="004D0570"/>
    <w:rsid w:val="004D3ABD"/>
    <w:rsid w:val="004D4060"/>
    <w:rsid w:val="004D58C0"/>
    <w:rsid w:val="004D708F"/>
    <w:rsid w:val="004F2EE3"/>
    <w:rsid w:val="004F75B4"/>
    <w:rsid w:val="00501596"/>
    <w:rsid w:val="00501936"/>
    <w:rsid w:val="00520E75"/>
    <w:rsid w:val="0053135D"/>
    <w:rsid w:val="00544103"/>
    <w:rsid w:val="00564CDD"/>
    <w:rsid w:val="005673C6"/>
    <w:rsid w:val="00567AC2"/>
    <w:rsid w:val="00581998"/>
    <w:rsid w:val="00583F63"/>
    <w:rsid w:val="005A709F"/>
    <w:rsid w:val="005C7C2E"/>
    <w:rsid w:val="005D476B"/>
    <w:rsid w:val="005D635F"/>
    <w:rsid w:val="005E0802"/>
    <w:rsid w:val="005F3851"/>
    <w:rsid w:val="005F41F1"/>
    <w:rsid w:val="005F4E60"/>
    <w:rsid w:val="006106D8"/>
    <w:rsid w:val="00626979"/>
    <w:rsid w:val="00654058"/>
    <w:rsid w:val="00657E68"/>
    <w:rsid w:val="0068239B"/>
    <w:rsid w:val="00690C74"/>
    <w:rsid w:val="0069611E"/>
    <w:rsid w:val="006B4E25"/>
    <w:rsid w:val="006C2C54"/>
    <w:rsid w:val="006D6655"/>
    <w:rsid w:val="006E22CD"/>
    <w:rsid w:val="006E2502"/>
    <w:rsid w:val="00710690"/>
    <w:rsid w:val="00714852"/>
    <w:rsid w:val="00715503"/>
    <w:rsid w:val="00744FCB"/>
    <w:rsid w:val="00751523"/>
    <w:rsid w:val="007524F0"/>
    <w:rsid w:val="007845AB"/>
    <w:rsid w:val="0079773E"/>
    <w:rsid w:val="007A2144"/>
    <w:rsid w:val="007C1ED8"/>
    <w:rsid w:val="007C2DA2"/>
    <w:rsid w:val="007D6C7C"/>
    <w:rsid w:val="007D7B13"/>
    <w:rsid w:val="007E2F79"/>
    <w:rsid w:val="00802923"/>
    <w:rsid w:val="00803B6C"/>
    <w:rsid w:val="00813F90"/>
    <w:rsid w:val="008229DA"/>
    <w:rsid w:val="00827F0F"/>
    <w:rsid w:val="00837D7B"/>
    <w:rsid w:val="008754D1"/>
    <w:rsid w:val="00885B86"/>
    <w:rsid w:val="00886611"/>
    <w:rsid w:val="00886C39"/>
    <w:rsid w:val="00890D18"/>
    <w:rsid w:val="008A6109"/>
    <w:rsid w:val="008B6BE7"/>
    <w:rsid w:val="008B7387"/>
    <w:rsid w:val="008C1E65"/>
    <w:rsid w:val="008C29AA"/>
    <w:rsid w:val="008C5D6D"/>
    <w:rsid w:val="008E24B5"/>
    <w:rsid w:val="0093538E"/>
    <w:rsid w:val="00940B04"/>
    <w:rsid w:val="00950565"/>
    <w:rsid w:val="0097027C"/>
    <w:rsid w:val="00972DE8"/>
    <w:rsid w:val="00997BE8"/>
    <w:rsid w:val="009A180E"/>
    <w:rsid w:val="009B13A1"/>
    <w:rsid w:val="009B48CF"/>
    <w:rsid w:val="009D7C27"/>
    <w:rsid w:val="009F0C27"/>
    <w:rsid w:val="00A21529"/>
    <w:rsid w:val="00A37EB4"/>
    <w:rsid w:val="00A445DB"/>
    <w:rsid w:val="00A50822"/>
    <w:rsid w:val="00AA0604"/>
    <w:rsid w:val="00AA7847"/>
    <w:rsid w:val="00AB0E98"/>
    <w:rsid w:val="00AB1E6C"/>
    <w:rsid w:val="00AB3BF4"/>
    <w:rsid w:val="00AC2A7E"/>
    <w:rsid w:val="00AF321B"/>
    <w:rsid w:val="00B62BD8"/>
    <w:rsid w:val="00B87BDC"/>
    <w:rsid w:val="00BA099F"/>
    <w:rsid w:val="00BB27A0"/>
    <w:rsid w:val="00BB6B50"/>
    <w:rsid w:val="00BC4E6C"/>
    <w:rsid w:val="00BD13AB"/>
    <w:rsid w:val="00BD18EF"/>
    <w:rsid w:val="00BD3F46"/>
    <w:rsid w:val="00BD544F"/>
    <w:rsid w:val="00BD7AF2"/>
    <w:rsid w:val="00BF2BD6"/>
    <w:rsid w:val="00C216BC"/>
    <w:rsid w:val="00C305A9"/>
    <w:rsid w:val="00C4397C"/>
    <w:rsid w:val="00C45ACD"/>
    <w:rsid w:val="00C546C4"/>
    <w:rsid w:val="00C71476"/>
    <w:rsid w:val="00C75E62"/>
    <w:rsid w:val="00C8696E"/>
    <w:rsid w:val="00C874E9"/>
    <w:rsid w:val="00C91901"/>
    <w:rsid w:val="00C93768"/>
    <w:rsid w:val="00CA032B"/>
    <w:rsid w:val="00CB0315"/>
    <w:rsid w:val="00CB6009"/>
    <w:rsid w:val="00CE15D2"/>
    <w:rsid w:val="00CE3598"/>
    <w:rsid w:val="00CE7591"/>
    <w:rsid w:val="00CE7FAD"/>
    <w:rsid w:val="00CF7D63"/>
    <w:rsid w:val="00D02614"/>
    <w:rsid w:val="00D05055"/>
    <w:rsid w:val="00D2411C"/>
    <w:rsid w:val="00D26186"/>
    <w:rsid w:val="00D263CE"/>
    <w:rsid w:val="00D27EA4"/>
    <w:rsid w:val="00D4301D"/>
    <w:rsid w:val="00D44269"/>
    <w:rsid w:val="00D46B0F"/>
    <w:rsid w:val="00D55691"/>
    <w:rsid w:val="00D63533"/>
    <w:rsid w:val="00D678CF"/>
    <w:rsid w:val="00D74852"/>
    <w:rsid w:val="00DA2F74"/>
    <w:rsid w:val="00DC3CF3"/>
    <w:rsid w:val="00DD586D"/>
    <w:rsid w:val="00DE12B5"/>
    <w:rsid w:val="00DE6B01"/>
    <w:rsid w:val="00E02E4D"/>
    <w:rsid w:val="00E04D64"/>
    <w:rsid w:val="00E1473B"/>
    <w:rsid w:val="00E17C85"/>
    <w:rsid w:val="00E273A2"/>
    <w:rsid w:val="00E32CF5"/>
    <w:rsid w:val="00E41456"/>
    <w:rsid w:val="00E44553"/>
    <w:rsid w:val="00E545BE"/>
    <w:rsid w:val="00E95BF8"/>
    <w:rsid w:val="00EA7D3D"/>
    <w:rsid w:val="00EB4758"/>
    <w:rsid w:val="00EB667F"/>
    <w:rsid w:val="00EC0B50"/>
    <w:rsid w:val="00EF01E8"/>
    <w:rsid w:val="00F07AF1"/>
    <w:rsid w:val="00F13D50"/>
    <w:rsid w:val="00F2416B"/>
    <w:rsid w:val="00F370DA"/>
    <w:rsid w:val="00F41F72"/>
    <w:rsid w:val="00F5201E"/>
    <w:rsid w:val="00F747A6"/>
    <w:rsid w:val="00F7700C"/>
    <w:rsid w:val="00FA0F83"/>
    <w:rsid w:val="00FA634C"/>
    <w:rsid w:val="00FA6707"/>
    <w:rsid w:val="00FA76CE"/>
    <w:rsid w:val="00FC1505"/>
    <w:rsid w:val="00FC2998"/>
    <w:rsid w:val="00FC682C"/>
    <w:rsid w:val="00FF1B63"/>
    <w:rsid w:val="00FF7801"/>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4">
      <o:colormenu v:ext="edit" fillcolor="none"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45AB"/>
    <w:pPr>
      <w:ind w:left="567"/>
    </w:pPr>
  </w:style>
  <w:style w:type="paragraph" w:styleId="Heading1">
    <w:name w:val="heading 1"/>
    <w:basedOn w:val="Normal"/>
    <w:next w:val="Normal"/>
    <w:link w:val="Heading1Char"/>
    <w:uiPriority w:val="9"/>
    <w:qFormat/>
    <w:rsid w:val="00564CDD"/>
    <w:pPr>
      <w:keepNext/>
      <w:keepLines/>
      <w:numPr>
        <w:numId w:val="1"/>
      </w:numPr>
      <w:shd w:val="clear" w:color="auto" w:fill="FFFFFF"/>
      <w:tabs>
        <w:tab w:val="left" w:pos="1134"/>
      </w:tabs>
      <w:spacing w:before="480" w:after="0" w:line="360" w:lineRule="auto"/>
      <w:textAlignment w:val="baseline"/>
      <w:outlineLvl w:val="0"/>
    </w:pPr>
    <w:rPr>
      <w:rFonts w:ascii="Cambria" w:eastAsia="Times New Roman" w:hAnsi="Cambria" w:cs="Times New Roman"/>
      <w:b/>
      <w:bCs/>
      <w:color w:val="262626" w:themeColor="text1" w:themeTint="D9"/>
      <w:sz w:val="44"/>
      <w:szCs w:val="44"/>
    </w:rPr>
  </w:style>
  <w:style w:type="paragraph" w:styleId="Heading2">
    <w:name w:val="heading 2"/>
    <w:basedOn w:val="ListParagraph"/>
    <w:next w:val="Normal"/>
    <w:link w:val="Heading2Char"/>
    <w:uiPriority w:val="9"/>
    <w:unhideWhenUsed/>
    <w:qFormat/>
    <w:rsid w:val="005D635F"/>
    <w:pPr>
      <w:numPr>
        <w:ilvl w:val="1"/>
        <w:numId w:val="1"/>
      </w:numPr>
      <w:ind w:left="993" w:hanging="709"/>
      <w:outlineLvl w:val="1"/>
    </w:pPr>
    <w:rPr>
      <w:rFonts w:asciiTheme="majorHAnsi" w:hAnsiTheme="majorHAnsi" w:cstheme="minorHAnsi"/>
      <w:b/>
      <w:bCs/>
      <w:sz w:val="40"/>
      <w:szCs w:val="40"/>
    </w:rPr>
  </w:style>
  <w:style w:type="paragraph" w:styleId="Heading3">
    <w:name w:val="heading 3"/>
    <w:basedOn w:val="Normal"/>
    <w:next w:val="Normal"/>
    <w:link w:val="Heading3Char"/>
    <w:uiPriority w:val="9"/>
    <w:unhideWhenUsed/>
    <w:qFormat/>
    <w:rsid w:val="005D635F"/>
    <w:pPr>
      <w:keepNext/>
      <w:keepLines/>
      <w:numPr>
        <w:ilvl w:val="2"/>
        <w:numId w:val="1"/>
      </w:numPr>
      <w:shd w:val="clear" w:color="auto" w:fill="FFFFFF"/>
      <w:tabs>
        <w:tab w:val="left" w:pos="2127"/>
      </w:tabs>
      <w:spacing w:before="200" w:after="240" w:line="360" w:lineRule="atLeast"/>
      <w:ind w:left="1418" w:hanging="862"/>
      <w:jc w:val="both"/>
      <w:textAlignment w:val="baseline"/>
      <w:outlineLvl w:val="2"/>
    </w:pPr>
    <w:rPr>
      <w:rFonts w:ascii="Cambria" w:eastAsia="Times New Roman" w:hAnsi="Cambria" w:cs="Times New Roman"/>
      <w:b/>
      <w:bCs/>
      <w:color w:val="0D0D0D"/>
      <w:sz w:val="32"/>
      <w:szCs w:val="20"/>
      <w:lang w:val="en-US"/>
    </w:rPr>
  </w:style>
  <w:style w:type="paragraph" w:styleId="Heading4">
    <w:name w:val="heading 4"/>
    <w:basedOn w:val="Normal"/>
    <w:next w:val="Normal"/>
    <w:link w:val="Heading4Char"/>
    <w:uiPriority w:val="9"/>
    <w:unhideWhenUsed/>
    <w:qFormat/>
    <w:rsid w:val="0097027C"/>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7027C"/>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7027C"/>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7027C"/>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7027C"/>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7027C"/>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LightGrid-Accent4">
    <w:name w:val="Light Grid Accent 4"/>
    <w:basedOn w:val="TableNormal"/>
    <w:uiPriority w:val="62"/>
    <w:rsid w:val="007845AB"/>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Lines="0" w:beforeAutospacing="0" w:afterLines="0" w:afterAutospacing="0" w:line="240" w:lineRule="auto"/>
      </w:pPr>
      <w:rPr>
        <w:rFonts w:asciiTheme="majorHAnsi" w:eastAsiaTheme="majorEastAsia" w:hAnsiTheme="majorHAnsi" w:cstheme="majorBidi" w:hint="default"/>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Lines="0" w:beforeAutospacing="0" w:afterLines="0" w:afterAutospacing="0" w:line="240" w:lineRule="auto"/>
      </w:pPr>
      <w:rPr>
        <w:rFonts w:asciiTheme="majorHAnsi" w:eastAsiaTheme="majorEastAsia" w:hAnsiTheme="majorHAnsi" w:cstheme="majorBidi" w:hint="default"/>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hint="default"/>
        <w:b/>
        <w:bCs/>
      </w:rPr>
    </w:tblStylePr>
    <w:tblStylePr w:type="lastCol">
      <w:rPr>
        <w:rFonts w:asciiTheme="majorHAnsi" w:eastAsiaTheme="majorEastAsia" w:hAnsiTheme="majorHAnsi" w:cstheme="majorBidi" w:hint="default"/>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customStyle="1" w:styleId="MediumList21">
    <w:name w:val="Medium List 21"/>
    <w:basedOn w:val="TableNormal"/>
    <w:uiPriority w:val="66"/>
    <w:rsid w:val="007845AB"/>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7845AB"/>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LightGrid-Accent5">
    <w:name w:val="Light Grid Accent 5"/>
    <w:basedOn w:val="TableNormal"/>
    <w:uiPriority w:val="62"/>
    <w:rsid w:val="007845AB"/>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styleId="BalloonText">
    <w:name w:val="Balloon Text"/>
    <w:basedOn w:val="Normal"/>
    <w:link w:val="BalloonTextChar"/>
    <w:uiPriority w:val="99"/>
    <w:semiHidden/>
    <w:unhideWhenUsed/>
    <w:rsid w:val="007845A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45AB"/>
    <w:rPr>
      <w:rFonts w:ascii="Tahoma" w:hAnsi="Tahoma" w:cs="Tahoma"/>
      <w:sz w:val="16"/>
      <w:szCs w:val="16"/>
    </w:rPr>
  </w:style>
  <w:style w:type="paragraph" w:styleId="Title">
    <w:name w:val="Title"/>
    <w:basedOn w:val="Normal"/>
    <w:next w:val="Normal"/>
    <w:link w:val="TitleChar"/>
    <w:uiPriority w:val="10"/>
    <w:qFormat/>
    <w:rsid w:val="007845AB"/>
    <w:pPr>
      <w:pBdr>
        <w:bottom w:val="single" w:sz="48" w:space="1" w:color="17365D"/>
      </w:pBdr>
      <w:autoSpaceDE w:val="0"/>
      <w:autoSpaceDN w:val="0"/>
      <w:adjustRightInd w:val="0"/>
      <w:spacing w:after="0" w:line="240" w:lineRule="auto"/>
    </w:pPr>
    <w:rPr>
      <w:rFonts w:ascii="URWGothicL-DemiObli" w:eastAsia="Calibri" w:hAnsi="URWGothicL-DemiObli" w:cs="URWGothicL-DemiObli"/>
      <w:color w:val="0F243E"/>
      <w:sz w:val="45"/>
      <w:szCs w:val="41"/>
      <w:lang w:eastAsia="fr-FR"/>
    </w:rPr>
  </w:style>
  <w:style w:type="character" w:customStyle="1" w:styleId="TitleChar">
    <w:name w:val="Title Char"/>
    <w:basedOn w:val="DefaultParagraphFont"/>
    <w:link w:val="Title"/>
    <w:uiPriority w:val="10"/>
    <w:rsid w:val="007845AB"/>
    <w:rPr>
      <w:rFonts w:ascii="URWGothicL-DemiObli" w:eastAsia="Calibri" w:hAnsi="URWGothicL-DemiObli" w:cs="URWGothicL-DemiObli"/>
      <w:color w:val="0F243E"/>
      <w:sz w:val="45"/>
      <w:szCs w:val="41"/>
      <w:lang w:eastAsia="fr-FR"/>
    </w:rPr>
  </w:style>
  <w:style w:type="character" w:customStyle="1" w:styleId="Heading1Char">
    <w:name w:val="Heading 1 Char"/>
    <w:basedOn w:val="DefaultParagraphFont"/>
    <w:link w:val="Heading1"/>
    <w:uiPriority w:val="9"/>
    <w:rsid w:val="00564CDD"/>
    <w:rPr>
      <w:rFonts w:ascii="Cambria" w:eastAsia="Times New Roman" w:hAnsi="Cambria" w:cs="Times New Roman"/>
      <w:b/>
      <w:bCs/>
      <w:color w:val="262626" w:themeColor="text1" w:themeTint="D9"/>
      <w:sz w:val="44"/>
      <w:szCs w:val="44"/>
      <w:shd w:val="clear" w:color="auto" w:fill="FFFFFF"/>
    </w:rPr>
  </w:style>
  <w:style w:type="paragraph" w:styleId="ListParagraph">
    <w:name w:val="List Paragraph"/>
    <w:basedOn w:val="Normal"/>
    <w:uiPriority w:val="34"/>
    <w:qFormat/>
    <w:rsid w:val="007845AB"/>
    <w:pPr>
      <w:ind w:left="720"/>
      <w:contextualSpacing/>
    </w:pPr>
  </w:style>
  <w:style w:type="character" w:customStyle="1" w:styleId="Heading2Char">
    <w:name w:val="Heading 2 Char"/>
    <w:basedOn w:val="DefaultParagraphFont"/>
    <w:link w:val="Heading2"/>
    <w:uiPriority w:val="9"/>
    <w:rsid w:val="005D635F"/>
    <w:rPr>
      <w:rFonts w:asciiTheme="majorHAnsi" w:hAnsiTheme="majorHAnsi" w:cstheme="minorHAnsi"/>
      <w:b/>
      <w:bCs/>
      <w:sz w:val="40"/>
      <w:szCs w:val="40"/>
    </w:rPr>
  </w:style>
  <w:style w:type="paragraph" w:styleId="Header">
    <w:name w:val="header"/>
    <w:basedOn w:val="Normal"/>
    <w:link w:val="HeaderChar"/>
    <w:uiPriority w:val="99"/>
    <w:unhideWhenUsed/>
    <w:rsid w:val="007845AB"/>
    <w:pPr>
      <w:tabs>
        <w:tab w:val="center" w:pos="4536"/>
        <w:tab w:val="right" w:pos="9072"/>
      </w:tabs>
      <w:spacing w:after="0" w:line="240" w:lineRule="auto"/>
    </w:pPr>
  </w:style>
  <w:style w:type="character" w:customStyle="1" w:styleId="HeaderChar">
    <w:name w:val="Header Char"/>
    <w:basedOn w:val="DefaultParagraphFont"/>
    <w:link w:val="Header"/>
    <w:uiPriority w:val="99"/>
    <w:rsid w:val="007845AB"/>
  </w:style>
  <w:style w:type="paragraph" w:styleId="Footer">
    <w:name w:val="footer"/>
    <w:basedOn w:val="Normal"/>
    <w:link w:val="FooterChar"/>
    <w:uiPriority w:val="99"/>
    <w:unhideWhenUsed/>
    <w:rsid w:val="007845AB"/>
    <w:pPr>
      <w:tabs>
        <w:tab w:val="center" w:pos="4536"/>
        <w:tab w:val="right" w:pos="9072"/>
      </w:tabs>
      <w:spacing w:after="0" w:line="240" w:lineRule="auto"/>
    </w:pPr>
  </w:style>
  <w:style w:type="character" w:customStyle="1" w:styleId="FooterChar">
    <w:name w:val="Footer Char"/>
    <w:basedOn w:val="DefaultParagraphFont"/>
    <w:link w:val="Footer"/>
    <w:uiPriority w:val="99"/>
    <w:rsid w:val="007845AB"/>
  </w:style>
  <w:style w:type="character" w:customStyle="1" w:styleId="Style3Car">
    <w:name w:val="Style3 Car"/>
    <w:link w:val="Style3"/>
    <w:locked/>
    <w:rsid w:val="007845AB"/>
    <w:rPr>
      <w:b/>
      <w:i/>
      <w:color w:val="7F7F7F"/>
      <w:sz w:val="28"/>
    </w:rPr>
  </w:style>
  <w:style w:type="paragraph" w:customStyle="1" w:styleId="Style3">
    <w:name w:val="Style3"/>
    <w:basedOn w:val="Normal"/>
    <w:link w:val="Style3Car"/>
    <w:qFormat/>
    <w:rsid w:val="007845AB"/>
    <w:pPr>
      <w:pBdr>
        <w:bottom w:val="single" w:sz="12" w:space="0" w:color="7F7F7F"/>
      </w:pBdr>
      <w:ind w:left="0"/>
      <w:jc w:val="right"/>
    </w:pPr>
    <w:rPr>
      <w:b/>
      <w:i/>
      <w:color w:val="7F7F7F"/>
      <w:sz w:val="28"/>
    </w:rPr>
  </w:style>
  <w:style w:type="paragraph" w:styleId="NoSpacing">
    <w:name w:val="No Spacing"/>
    <w:uiPriority w:val="1"/>
    <w:qFormat/>
    <w:rsid w:val="003604D6"/>
    <w:pPr>
      <w:spacing w:after="0" w:line="240" w:lineRule="auto"/>
      <w:ind w:left="567"/>
    </w:pPr>
  </w:style>
  <w:style w:type="paragraph" w:styleId="TOC1">
    <w:name w:val="toc 1"/>
    <w:basedOn w:val="Normal"/>
    <w:next w:val="Normal"/>
    <w:autoRedefine/>
    <w:uiPriority w:val="39"/>
    <w:unhideWhenUsed/>
    <w:rsid w:val="00544103"/>
    <w:pPr>
      <w:spacing w:before="120" w:after="0"/>
      <w:ind w:left="0"/>
    </w:pPr>
    <w:rPr>
      <w:rFonts w:cs="Times New Roman"/>
      <w:b/>
      <w:bCs/>
      <w:i/>
      <w:iCs/>
      <w:sz w:val="24"/>
      <w:szCs w:val="28"/>
    </w:rPr>
  </w:style>
  <w:style w:type="paragraph" w:styleId="TOC2">
    <w:name w:val="toc 2"/>
    <w:basedOn w:val="Normal"/>
    <w:next w:val="Normal"/>
    <w:autoRedefine/>
    <w:uiPriority w:val="39"/>
    <w:unhideWhenUsed/>
    <w:rsid w:val="00544103"/>
    <w:pPr>
      <w:spacing w:before="120" w:after="0"/>
      <w:ind w:left="220"/>
    </w:pPr>
    <w:rPr>
      <w:rFonts w:cs="Times New Roman"/>
      <w:b/>
      <w:bCs/>
      <w:szCs w:val="26"/>
    </w:rPr>
  </w:style>
  <w:style w:type="paragraph" w:styleId="TOC3">
    <w:name w:val="toc 3"/>
    <w:basedOn w:val="Normal"/>
    <w:next w:val="Normal"/>
    <w:autoRedefine/>
    <w:uiPriority w:val="39"/>
    <w:unhideWhenUsed/>
    <w:rsid w:val="00544103"/>
    <w:pPr>
      <w:spacing w:after="0"/>
      <w:ind w:left="440"/>
    </w:pPr>
    <w:rPr>
      <w:rFonts w:cs="Times New Roman"/>
      <w:sz w:val="20"/>
      <w:szCs w:val="24"/>
    </w:rPr>
  </w:style>
  <w:style w:type="paragraph" w:styleId="TOC4">
    <w:name w:val="toc 4"/>
    <w:basedOn w:val="Normal"/>
    <w:next w:val="Normal"/>
    <w:autoRedefine/>
    <w:uiPriority w:val="39"/>
    <w:unhideWhenUsed/>
    <w:rsid w:val="00544103"/>
    <w:pPr>
      <w:spacing w:after="0"/>
      <w:ind w:left="660"/>
    </w:pPr>
    <w:rPr>
      <w:rFonts w:cs="Times New Roman"/>
      <w:sz w:val="20"/>
      <w:szCs w:val="24"/>
    </w:rPr>
  </w:style>
  <w:style w:type="paragraph" w:styleId="TOC5">
    <w:name w:val="toc 5"/>
    <w:basedOn w:val="Normal"/>
    <w:next w:val="Normal"/>
    <w:autoRedefine/>
    <w:uiPriority w:val="39"/>
    <w:unhideWhenUsed/>
    <w:rsid w:val="00544103"/>
    <w:pPr>
      <w:spacing w:after="0"/>
      <w:ind w:left="880"/>
    </w:pPr>
    <w:rPr>
      <w:rFonts w:cs="Times New Roman"/>
      <w:sz w:val="20"/>
      <w:szCs w:val="24"/>
    </w:rPr>
  </w:style>
  <w:style w:type="paragraph" w:styleId="TOC6">
    <w:name w:val="toc 6"/>
    <w:basedOn w:val="Normal"/>
    <w:next w:val="Normal"/>
    <w:autoRedefine/>
    <w:uiPriority w:val="39"/>
    <w:unhideWhenUsed/>
    <w:rsid w:val="00544103"/>
    <w:pPr>
      <w:spacing w:after="0"/>
      <w:ind w:left="1100"/>
    </w:pPr>
    <w:rPr>
      <w:rFonts w:cs="Times New Roman"/>
      <w:sz w:val="20"/>
      <w:szCs w:val="24"/>
    </w:rPr>
  </w:style>
  <w:style w:type="paragraph" w:styleId="TOC7">
    <w:name w:val="toc 7"/>
    <w:basedOn w:val="Normal"/>
    <w:next w:val="Normal"/>
    <w:autoRedefine/>
    <w:uiPriority w:val="39"/>
    <w:unhideWhenUsed/>
    <w:rsid w:val="00544103"/>
    <w:pPr>
      <w:spacing w:after="0"/>
      <w:ind w:left="1320"/>
    </w:pPr>
    <w:rPr>
      <w:rFonts w:cs="Times New Roman"/>
      <w:sz w:val="20"/>
      <w:szCs w:val="24"/>
    </w:rPr>
  </w:style>
  <w:style w:type="paragraph" w:styleId="TOC8">
    <w:name w:val="toc 8"/>
    <w:basedOn w:val="Normal"/>
    <w:next w:val="Normal"/>
    <w:autoRedefine/>
    <w:uiPriority w:val="39"/>
    <w:unhideWhenUsed/>
    <w:rsid w:val="00544103"/>
    <w:pPr>
      <w:spacing w:after="0"/>
      <w:ind w:left="1540"/>
    </w:pPr>
    <w:rPr>
      <w:rFonts w:cs="Times New Roman"/>
      <w:sz w:val="20"/>
      <w:szCs w:val="24"/>
    </w:rPr>
  </w:style>
  <w:style w:type="paragraph" w:styleId="TOC9">
    <w:name w:val="toc 9"/>
    <w:basedOn w:val="Normal"/>
    <w:next w:val="Normal"/>
    <w:autoRedefine/>
    <w:uiPriority w:val="39"/>
    <w:unhideWhenUsed/>
    <w:rsid w:val="00544103"/>
    <w:pPr>
      <w:spacing w:after="0"/>
      <w:ind w:left="1760"/>
    </w:pPr>
    <w:rPr>
      <w:rFonts w:cs="Times New Roman"/>
      <w:sz w:val="20"/>
      <w:szCs w:val="24"/>
    </w:rPr>
  </w:style>
  <w:style w:type="table" w:styleId="TableGrid">
    <w:name w:val="Table Grid"/>
    <w:basedOn w:val="TableNormal"/>
    <w:uiPriority w:val="59"/>
    <w:rsid w:val="00CA032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CA032B"/>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Grid-Accent11">
    <w:name w:val="Light Grid - Accent 11"/>
    <w:basedOn w:val="TableNormal"/>
    <w:uiPriority w:val="62"/>
    <w:rsid w:val="00153332"/>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character" w:customStyle="1" w:styleId="Heading3Char">
    <w:name w:val="Heading 3 Char"/>
    <w:basedOn w:val="DefaultParagraphFont"/>
    <w:link w:val="Heading3"/>
    <w:uiPriority w:val="9"/>
    <w:rsid w:val="005D635F"/>
    <w:rPr>
      <w:rFonts w:ascii="Cambria" w:eastAsia="Times New Roman" w:hAnsi="Cambria" w:cs="Times New Roman"/>
      <w:b/>
      <w:bCs/>
      <w:color w:val="0D0D0D"/>
      <w:sz w:val="32"/>
      <w:szCs w:val="20"/>
      <w:shd w:val="clear" w:color="auto" w:fill="FFFFFF"/>
      <w:lang w:val="en-US"/>
    </w:rPr>
  </w:style>
  <w:style w:type="table" w:styleId="LightShading-Accent5">
    <w:name w:val="Light Shading Accent 5"/>
    <w:basedOn w:val="TableNormal"/>
    <w:uiPriority w:val="60"/>
    <w:rsid w:val="00AF321B"/>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Caption">
    <w:name w:val="caption"/>
    <w:basedOn w:val="Normal"/>
    <w:next w:val="Normal"/>
    <w:uiPriority w:val="35"/>
    <w:unhideWhenUsed/>
    <w:qFormat/>
    <w:rsid w:val="00242560"/>
    <w:pPr>
      <w:spacing w:line="240" w:lineRule="auto"/>
    </w:pPr>
    <w:rPr>
      <w:b/>
      <w:bCs/>
      <w:color w:val="4F81BD" w:themeColor="accent1"/>
      <w:sz w:val="18"/>
      <w:szCs w:val="18"/>
    </w:rPr>
  </w:style>
  <w:style w:type="character" w:customStyle="1" w:styleId="apple-converted-space">
    <w:name w:val="apple-converted-space"/>
    <w:basedOn w:val="DefaultParagraphFont"/>
    <w:rsid w:val="001468BB"/>
  </w:style>
  <w:style w:type="paragraph" w:styleId="NormalWeb">
    <w:name w:val="Normal (Web)"/>
    <w:basedOn w:val="Normal"/>
    <w:uiPriority w:val="99"/>
    <w:unhideWhenUsed/>
    <w:rsid w:val="001468BB"/>
    <w:pPr>
      <w:spacing w:before="100" w:beforeAutospacing="1" w:after="100" w:afterAutospacing="1" w:line="240" w:lineRule="auto"/>
      <w:ind w:left="0"/>
    </w:pPr>
    <w:rPr>
      <w:rFonts w:ascii="Times New Roman" w:eastAsia="Times New Roman" w:hAnsi="Times New Roman" w:cs="Times New Roman"/>
      <w:sz w:val="24"/>
      <w:szCs w:val="24"/>
      <w:lang w:eastAsia="fr-FR"/>
    </w:rPr>
  </w:style>
  <w:style w:type="table" w:customStyle="1" w:styleId="Trameclaire-Accent11">
    <w:name w:val="Trame claire - Accent 11"/>
    <w:basedOn w:val="TableNormal"/>
    <w:uiPriority w:val="60"/>
    <w:rsid w:val="001468BB"/>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Standard">
    <w:name w:val="Standard"/>
    <w:basedOn w:val="Normal"/>
    <w:rsid w:val="001541A6"/>
    <w:pPr>
      <w:ind w:left="0" w:firstLine="426"/>
      <w:jc w:val="both"/>
    </w:pPr>
    <w:rPr>
      <w:rFonts w:asciiTheme="majorHAnsi" w:hAnsiTheme="majorHAnsi"/>
      <w:sz w:val="28"/>
    </w:rPr>
  </w:style>
  <w:style w:type="paragraph" w:customStyle="1" w:styleId="Textbody">
    <w:name w:val="Text body"/>
    <w:basedOn w:val="Standard"/>
    <w:rsid w:val="006E22CD"/>
    <w:pPr>
      <w:ind w:left="142"/>
    </w:pPr>
    <w:rPr>
      <w:noProof/>
      <w:lang w:eastAsia="fr-FR"/>
    </w:rPr>
  </w:style>
  <w:style w:type="table" w:styleId="MediumGrid2-Accent6">
    <w:name w:val="Medium Grid 2 Accent 6"/>
    <w:basedOn w:val="TableNormal"/>
    <w:uiPriority w:val="68"/>
    <w:rsid w:val="001468BB"/>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paragraph" w:customStyle="1" w:styleId="Default">
    <w:name w:val="Default"/>
    <w:rsid w:val="001468BB"/>
    <w:pPr>
      <w:autoSpaceDE w:val="0"/>
      <w:autoSpaceDN w:val="0"/>
      <w:adjustRightInd w:val="0"/>
      <w:spacing w:after="0" w:line="240" w:lineRule="auto"/>
    </w:pPr>
    <w:rPr>
      <w:rFonts w:ascii="Cambria" w:hAnsi="Cambria" w:cs="Cambria"/>
      <w:color w:val="000000"/>
      <w:sz w:val="24"/>
      <w:szCs w:val="24"/>
    </w:rPr>
  </w:style>
  <w:style w:type="paragraph" w:styleId="TableofFigures">
    <w:name w:val="table of figures"/>
    <w:basedOn w:val="Normal"/>
    <w:next w:val="Normal"/>
    <w:uiPriority w:val="99"/>
    <w:unhideWhenUsed/>
    <w:rsid w:val="00802923"/>
    <w:pPr>
      <w:spacing w:after="0"/>
      <w:ind w:left="0"/>
    </w:pPr>
  </w:style>
  <w:style w:type="character" w:styleId="Hyperlink">
    <w:name w:val="Hyperlink"/>
    <w:basedOn w:val="DefaultParagraphFont"/>
    <w:uiPriority w:val="99"/>
    <w:unhideWhenUsed/>
    <w:rsid w:val="00802923"/>
    <w:rPr>
      <w:color w:val="0000FF" w:themeColor="hyperlink"/>
      <w:u w:val="single"/>
    </w:rPr>
  </w:style>
  <w:style w:type="paragraph" w:styleId="TOCHeading">
    <w:name w:val="TOC Heading"/>
    <w:basedOn w:val="Heading1"/>
    <w:next w:val="Normal"/>
    <w:uiPriority w:val="39"/>
    <w:unhideWhenUsed/>
    <w:qFormat/>
    <w:rsid w:val="00BD18EF"/>
    <w:pPr>
      <w:numPr>
        <w:numId w:val="0"/>
      </w:numPr>
      <w:shd w:val="clear" w:color="auto" w:fill="auto"/>
      <w:tabs>
        <w:tab w:val="clear" w:pos="1134"/>
      </w:tabs>
      <w:spacing w:line="276" w:lineRule="auto"/>
      <w:textAlignment w:val="auto"/>
      <w:outlineLvl w:val="9"/>
    </w:pPr>
    <w:rPr>
      <w:rFonts w:asciiTheme="majorHAnsi" w:eastAsiaTheme="majorEastAsia" w:hAnsiTheme="majorHAnsi" w:cstheme="majorBidi"/>
      <w:color w:val="365F91" w:themeColor="accent1" w:themeShade="BF"/>
      <w:sz w:val="28"/>
      <w:lang w:eastAsia="fr-FR"/>
    </w:rPr>
  </w:style>
  <w:style w:type="paragraph" w:styleId="IntenseQuote">
    <w:name w:val="Intense Quote"/>
    <w:basedOn w:val="Normal"/>
    <w:next w:val="Normal"/>
    <w:link w:val="IntenseQuoteChar"/>
    <w:uiPriority w:val="30"/>
    <w:qFormat/>
    <w:rsid w:val="00CE3598"/>
    <w:pPr>
      <w:pBdr>
        <w:bottom w:val="single" w:sz="4" w:space="1" w:color="auto"/>
      </w:pBdr>
      <w:spacing w:before="200" w:after="0" w:line="240" w:lineRule="auto"/>
      <w:ind w:left="0" w:right="936"/>
    </w:pPr>
    <w:rPr>
      <w:bCs/>
      <w:iCs/>
      <w:color w:val="262626" w:themeColor="text1" w:themeTint="D9"/>
      <w:sz w:val="48"/>
    </w:rPr>
  </w:style>
  <w:style w:type="character" w:customStyle="1" w:styleId="IntenseQuoteChar">
    <w:name w:val="Intense Quote Char"/>
    <w:basedOn w:val="DefaultParagraphFont"/>
    <w:link w:val="IntenseQuote"/>
    <w:uiPriority w:val="30"/>
    <w:rsid w:val="00CE3598"/>
    <w:rPr>
      <w:bCs/>
      <w:iCs/>
      <w:color w:val="262626" w:themeColor="text1" w:themeTint="D9"/>
      <w:sz w:val="48"/>
    </w:rPr>
  </w:style>
  <w:style w:type="character" w:customStyle="1" w:styleId="Heading4Char">
    <w:name w:val="Heading 4 Char"/>
    <w:basedOn w:val="DefaultParagraphFont"/>
    <w:link w:val="Heading4"/>
    <w:uiPriority w:val="9"/>
    <w:rsid w:val="0097027C"/>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97027C"/>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97027C"/>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97027C"/>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97027C"/>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97027C"/>
    <w:rPr>
      <w:rFonts w:asciiTheme="majorHAnsi" w:eastAsiaTheme="majorEastAsia" w:hAnsiTheme="majorHAnsi" w:cstheme="majorBidi"/>
      <w:i/>
      <w:iCs/>
      <w:color w:val="404040" w:themeColor="text1" w:themeTint="BF"/>
      <w:sz w:val="20"/>
      <w:szCs w:val="20"/>
    </w:rPr>
  </w:style>
  <w:style w:type="character" w:styleId="Strong">
    <w:name w:val="Strong"/>
    <w:basedOn w:val="DefaultParagraphFont"/>
    <w:uiPriority w:val="22"/>
    <w:qFormat/>
    <w:rsid w:val="009D7C27"/>
    <w:rPr>
      <w:b/>
      <w:bCs/>
    </w:rPr>
  </w:style>
  <w:style w:type="paragraph" w:styleId="DocumentMap">
    <w:name w:val="Document Map"/>
    <w:basedOn w:val="Normal"/>
    <w:link w:val="DocumentMapChar"/>
    <w:uiPriority w:val="99"/>
    <w:semiHidden/>
    <w:unhideWhenUsed/>
    <w:rsid w:val="008A6109"/>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8A6109"/>
    <w:rPr>
      <w:rFonts w:ascii="Tahoma" w:hAnsi="Tahoma" w:cs="Tahoma"/>
      <w:sz w:val="16"/>
      <w:szCs w:val="16"/>
    </w:rPr>
  </w:style>
  <w:style w:type="paragraph" w:customStyle="1" w:styleId="selectionshareable">
    <w:name w:val="selectionshareable"/>
    <w:basedOn w:val="Normal"/>
    <w:rsid w:val="00C546C4"/>
    <w:pPr>
      <w:spacing w:before="100" w:beforeAutospacing="1" w:after="100" w:afterAutospacing="1" w:line="240" w:lineRule="auto"/>
      <w:ind w:left="0"/>
    </w:pPr>
    <w:rPr>
      <w:rFonts w:ascii="Times New Roman" w:eastAsia="Times New Roman" w:hAnsi="Times New Roman" w:cs="Times New Roman"/>
      <w:sz w:val="24"/>
      <w:szCs w:val="24"/>
      <w:lang w:eastAsia="fr-FR"/>
    </w:rPr>
  </w:style>
  <w:style w:type="character" w:customStyle="1" w:styleId="ds-1col">
    <w:name w:val="ds-1col"/>
    <w:basedOn w:val="DefaultParagraphFont"/>
    <w:rsid w:val="00C546C4"/>
  </w:style>
  <w:style w:type="table" w:customStyle="1" w:styleId="LightShading1">
    <w:name w:val="Light Shading1"/>
    <w:basedOn w:val="TableNormal"/>
    <w:uiPriority w:val="60"/>
    <w:rsid w:val="004B27D4"/>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MediumList11">
    <w:name w:val="Medium List 11"/>
    <w:basedOn w:val="TableNormal"/>
    <w:uiPriority w:val="65"/>
    <w:rsid w:val="000E6C7E"/>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character" w:styleId="Emphasis">
    <w:name w:val="Emphasis"/>
    <w:basedOn w:val="DefaultParagraphFont"/>
    <w:uiPriority w:val="20"/>
    <w:qFormat/>
    <w:rsid w:val="007D6C7C"/>
    <w:rPr>
      <w:i/>
      <w:iCs/>
    </w:rPr>
  </w:style>
  <w:style w:type="paragraph" w:customStyle="1" w:styleId="intertitre1">
    <w:name w:val="intertitre1"/>
    <w:basedOn w:val="Normal"/>
    <w:rsid w:val="007D6C7C"/>
    <w:pPr>
      <w:spacing w:before="100" w:beforeAutospacing="1" w:after="100" w:afterAutospacing="1" w:line="240" w:lineRule="auto"/>
      <w:ind w:left="0"/>
    </w:pPr>
    <w:rPr>
      <w:rFonts w:ascii="Times New Roman" w:eastAsia="Times New Roman" w:hAnsi="Times New Roman" w:cs="Times New Roman"/>
      <w:sz w:val="24"/>
      <w:szCs w:val="24"/>
      <w:lang w:eastAsia="fr-FR"/>
    </w:rPr>
  </w:style>
  <w:style w:type="paragraph" w:styleId="HTMLPreformatted">
    <w:name w:val="HTML Preformatted"/>
    <w:basedOn w:val="Normal"/>
    <w:link w:val="HTMLPreformattedChar"/>
    <w:uiPriority w:val="99"/>
    <w:semiHidden/>
    <w:unhideWhenUsed/>
    <w:rsid w:val="00BF2B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pPr>
    <w:rPr>
      <w:rFonts w:ascii="Courier New" w:eastAsia="Times New Roman" w:hAnsi="Courier New" w:cs="Courier New"/>
      <w:sz w:val="20"/>
      <w:szCs w:val="20"/>
      <w:lang w:eastAsia="fr-FR"/>
    </w:rPr>
  </w:style>
  <w:style w:type="character" w:customStyle="1" w:styleId="HTMLPreformattedChar">
    <w:name w:val="HTML Preformatted Char"/>
    <w:basedOn w:val="DefaultParagraphFont"/>
    <w:link w:val="HTMLPreformatted"/>
    <w:uiPriority w:val="99"/>
    <w:semiHidden/>
    <w:rsid w:val="00BF2BD6"/>
    <w:rPr>
      <w:rFonts w:ascii="Courier New" w:eastAsia="Times New Roman" w:hAnsi="Courier New" w:cs="Courier New"/>
      <w:sz w:val="20"/>
      <w:szCs w:val="20"/>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845AB"/>
    <w:pPr>
      <w:ind w:left="567"/>
    </w:pPr>
  </w:style>
  <w:style w:type="paragraph" w:styleId="Titre1">
    <w:name w:val="heading 1"/>
    <w:basedOn w:val="Normal"/>
    <w:next w:val="Normal"/>
    <w:link w:val="Titre1Car"/>
    <w:uiPriority w:val="9"/>
    <w:qFormat/>
    <w:rsid w:val="00827F0F"/>
    <w:pPr>
      <w:keepNext/>
      <w:keepLines/>
      <w:numPr>
        <w:numId w:val="12"/>
      </w:numPr>
      <w:shd w:val="clear" w:color="auto" w:fill="FFFFFF"/>
      <w:tabs>
        <w:tab w:val="left" w:pos="1134"/>
      </w:tabs>
      <w:spacing w:before="480" w:after="600" w:line="360" w:lineRule="atLeast"/>
      <w:textAlignment w:val="baseline"/>
      <w:outlineLvl w:val="0"/>
    </w:pPr>
    <w:rPr>
      <w:rFonts w:ascii="Cambria" w:eastAsia="Times New Roman" w:hAnsi="Cambria" w:cs="Times New Roman"/>
      <w:b/>
      <w:bCs/>
      <w:color w:val="262626" w:themeColor="text1" w:themeTint="D9"/>
      <w:sz w:val="48"/>
      <w:szCs w:val="28"/>
    </w:rPr>
  </w:style>
  <w:style w:type="paragraph" w:styleId="Titre2">
    <w:name w:val="heading 2"/>
    <w:basedOn w:val="Paragraphedeliste"/>
    <w:next w:val="Normal"/>
    <w:link w:val="Titre2Car"/>
    <w:uiPriority w:val="9"/>
    <w:unhideWhenUsed/>
    <w:qFormat/>
    <w:rsid w:val="005D635F"/>
    <w:pPr>
      <w:numPr>
        <w:ilvl w:val="1"/>
        <w:numId w:val="12"/>
      </w:numPr>
      <w:ind w:left="993" w:hanging="709"/>
      <w:outlineLvl w:val="1"/>
    </w:pPr>
    <w:rPr>
      <w:rFonts w:asciiTheme="majorHAnsi" w:hAnsiTheme="majorHAnsi" w:cstheme="minorHAnsi"/>
      <w:b/>
      <w:bCs/>
      <w:sz w:val="40"/>
      <w:szCs w:val="40"/>
    </w:rPr>
  </w:style>
  <w:style w:type="paragraph" w:styleId="Titre3">
    <w:name w:val="heading 3"/>
    <w:basedOn w:val="Normal"/>
    <w:next w:val="Normal"/>
    <w:link w:val="Titre3Car"/>
    <w:uiPriority w:val="9"/>
    <w:unhideWhenUsed/>
    <w:qFormat/>
    <w:rsid w:val="005D635F"/>
    <w:pPr>
      <w:keepNext/>
      <w:keepLines/>
      <w:numPr>
        <w:ilvl w:val="2"/>
        <w:numId w:val="12"/>
      </w:numPr>
      <w:shd w:val="clear" w:color="auto" w:fill="FFFFFF"/>
      <w:tabs>
        <w:tab w:val="left" w:pos="2127"/>
      </w:tabs>
      <w:spacing w:before="200" w:after="240" w:line="360" w:lineRule="atLeast"/>
      <w:ind w:left="1418" w:hanging="862"/>
      <w:jc w:val="both"/>
      <w:textAlignment w:val="baseline"/>
      <w:outlineLvl w:val="2"/>
    </w:pPr>
    <w:rPr>
      <w:rFonts w:ascii="Cambria" w:eastAsia="Times New Roman" w:hAnsi="Cambria" w:cs="Times New Roman"/>
      <w:b/>
      <w:bCs/>
      <w:color w:val="0D0D0D"/>
      <w:sz w:val="32"/>
      <w:szCs w:val="20"/>
      <w:lang w:val="en-US"/>
    </w:rPr>
  </w:style>
  <w:style w:type="paragraph" w:styleId="Titre4">
    <w:name w:val="heading 4"/>
    <w:basedOn w:val="Normal"/>
    <w:next w:val="Normal"/>
    <w:link w:val="Titre4Car"/>
    <w:uiPriority w:val="9"/>
    <w:semiHidden/>
    <w:unhideWhenUsed/>
    <w:qFormat/>
    <w:rsid w:val="0097027C"/>
    <w:pPr>
      <w:keepNext/>
      <w:keepLines/>
      <w:numPr>
        <w:ilvl w:val="3"/>
        <w:numId w:val="12"/>
      </w:numPr>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uiPriority w:val="9"/>
    <w:semiHidden/>
    <w:unhideWhenUsed/>
    <w:qFormat/>
    <w:rsid w:val="0097027C"/>
    <w:pPr>
      <w:keepNext/>
      <w:keepLines/>
      <w:numPr>
        <w:ilvl w:val="4"/>
        <w:numId w:val="12"/>
      </w:numPr>
      <w:spacing w:before="200" w:after="0"/>
      <w:outlineLvl w:val="4"/>
    </w:pPr>
    <w:rPr>
      <w:rFonts w:asciiTheme="majorHAnsi" w:eastAsiaTheme="majorEastAsia" w:hAnsiTheme="majorHAnsi" w:cstheme="majorBidi"/>
      <w:color w:val="243F60" w:themeColor="accent1" w:themeShade="7F"/>
    </w:rPr>
  </w:style>
  <w:style w:type="paragraph" w:styleId="Titre6">
    <w:name w:val="heading 6"/>
    <w:basedOn w:val="Normal"/>
    <w:next w:val="Normal"/>
    <w:link w:val="Titre6Car"/>
    <w:uiPriority w:val="9"/>
    <w:semiHidden/>
    <w:unhideWhenUsed/>
    <w:qFormat/>
    <w:rsid w:val="0097027C"/>
    <w:pPr>
      <w:keepNext/>
      <w:keepLines/>
      <w:numPr>
        <w:ilvl w:val="5"/>
        <w:numId w:val="12"/>
      </w:numPr>
      <w:spacing w:before="200" w:after="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semiHidden/>
    <w:unhideWhenUsed/>
    <w:qFormat/>
    <w:rsid w:val="0097027C"/>
    <w:pPr>
      <w:keepNext/>
      <w:keepLines/>
      <w:numPr>
        <w:ilvl w:val="6"/>
        <w:numId w:val="12"/>
      </w:numPr>
      <w:spacing w:before="200" w:after="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
    <w:semiHidden/>
    <w:unhideWhenUsed/>
    <w:qFormat/>
    <w:rsid w:val="0097027C"/>
    <w:pPr>
      <w:keepNext/>
      <w:keepLines/>
      <w:numPr>
        <w:ilvl w:val="7"/>
        <w:numId w:val="12"/>
      </w:numPr>
      <w:spacing w:before="200" w:after="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
    <w:semiHidden/>
    <w:unhideWhenUsed/>
    <w:qFormat/>
    <w:rsid w:val="0097027C"/>
    <w:pPr>
      <w:keepNext/>
      <w:keepLines/>
      <w:numPr>
        <w:ilvl w:val="8"/>
        <w:numId w:val="1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claire-Accent4">
    <w:name w:val="Light Grid Accent 4"/>
    <w:basedOn w:val="TableauNormal"/>
    <w:uiPriority w:val="62"/>
    <w:rsid w:val="007845AB"/>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Lines="0" w:beforeAutospacing="0" w:afterLines="0" w:afterAutospacing="0" w:line="240" w:lineRule="auto"/>
      </w:pPr>
      <w:rPr>
        <w:rFonts w:asciiTheme="majorHAnsi" w:eastAsiaTheme="majorEastAsia" w:hAnsiTheme="majorHAnsi" w:cstheme="majorBidi" w:hint="default"/>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Lines="0" w:beforeAutospacing="0" w:afterLines="0" w:afterAutospacing="0" w:line="240" w:lineRule="auto"/>
      </w:pPr>
      <w:rPr>
        <w:rFonts w:asciiTheme="majorHAnsi" w:eastAsiaTheme="majorEastAsia" w:hAnsiTheme="majorHAnsi" w:cstheme="majorBidi" w:hint="default"/>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hint="default"/>
        <w:b/>
        <w:bCs/>
      </w:rPr>
    </w:tblStylePr>
    <w:tblStylePr w:type="lastCol">
      <w:rPr>
        <w:rFonts w:asciiTheme="majorHAnsi" w:eastAsiaTheme="majorEastAsia" w:hAnsiTheme="majorHAnsi" w:cstheme="majorBidi" w:hint="default"/>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stemoyenne2">
    <w:name w:val="Medium List 2"/>
    <w:basedOn w:val="TableauNormal"/>
    <w:uiPriority w:val="66"/>
    <w:rsid w:val="007845AB"/>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1">
    <w:name w:val="Medium List 2 Accent 1"/>
    <w:basedOn w:val="TableauNormal"/>
    <w:uiPriority w:val="66"/>
    <w:rsid w:val="007845AB"/>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rilleclaire-Accent5">
    <w:name w:val="Light Grid Accent 5"/>
    <w:basedOn w:val="TableauNormal"/>
    <w:uiPriority w:val="62"/>
    <w:rsid w:val="007845AB"/>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styleId="Textedebulles">
    <w:name w:val="Balloon Text"/>
    <w:basedOn w:val="Normal"/>
    <w:link w:val="TextedebullesCar"/>
    <w:uiPriority w:val="99"/>
    <w:semiHidden/>
    <w:unhideWhenUsed/>
    <w:rsid w:val="007845A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7845AB"/>
    <w:rPr>
      <w:rFonts w:ascii="Tahoma" w:hAnsi="Tahoma" w:cs="Tahoma"/>
      <w:sz w:val="16"/>
      <w:szCs w:val="16"/>
    </w:rPr>
  </w:style>
  <w:style w:type="paragraph" w:styleId="Titre">
    <w:name w:val="Title"/>
    <w:basedOn w:val="Normal"/>
    <w:next w:val="Normal"/>
    <w:link w:val="TitreCar"/>
    <w:uiPriority w:val="10"/>
    <w:qFormat/>
    <w:rsid w:val="007845AB"/>
    <w:pPr>
      <w:pBdr>
        <w:bottom w:val="single" w:sz="48" w:space="1" w:color="17365D"/>
      </w:pBdr>
      <w:autoSpaceDE w:val="0"/>
      <w:autoSpaceDN w:val="0"/>
      <w:adjustRightInd w:val="0"/>
      <w:spacing w:after="0" w:line="240" w:lineRule="auto"/>
    </w:pPr>
    <w:rPr>
      <w:rFonts w:ascii="URWGothicL-DemiObli" w:eastAsia="Calibri" w:hAnsi="URWGothicL-DemiObli" w:cs="URWGothicL-DemiObli"/>
      <w:color w:val="0F243E"/>
      <w:sz w:val="45"/>
      <w:szCs w:val="41"/>
      <w:lang w:eastAsia="fr-FR"/>
    </w:rPr>
  </w:style>
  <w:style w:type="character" w:customStyle="1" w:styleId="TitreCar">
    <w:name w:val="Titre Car"/>
    <w:basedOn w:val="Policepardfaut"/>
    <w:link w:val="Titre"/>
    <w:uiPriority w:val="10"/>
    <w:rsid w:val="007845AB"/>
    <w:rPr>
      <w:rFonts w:ascii="URWGothicL-DemiObli" w:eastAsia="Calibri" w:hAnsi="URWGothicL-DemiObli" w:cs="URWGothicL-DemiObli"/>
      <w:color w:val="0F243E"/>
      <w:sz w:val="45"/>
      <w:szCs w:val="41"/>
      <w:lang w:eastAsia="fr-FR"/>
    </w:rPr>
  </w:style>
  <w:style w:type="character" w:customStyle="1" w:styleId="Titre1Car">
    <w:name w:val="Titre 1 Car"/>
    <w:basedOn w:val="Policepardfaut"/>
    <w:link w:val="Titre1"/>
    <w:uiPriority w:val="9"/>
    <w:rsid w:val="00827F0F"/>
    <w:rPr>
      <w:rFonts w:ascii="Cambria" w:eastAsia="Times New Roman" w:hAnsi="Cambria" w:cs="Times New Roman"/>
      <w:b/>
      <w:bCs/>
      <w:color w:val="262626" w:themeColor="text1" w:themeTint="D9"/>
      <w:sz w:val="48"/>
      <w:szCs w:val="28"/>
      <w:shd w:val="clear" w:color="auto" w:fill="FFFFFF"/>
    </w:rPr>
  </w:style>
  <w:style w:type="paragraph" w:styleId="Paragraphedeliste">
    <w:name w:val="List Paragraph"/>
    <w:basedOn w:val="Normal"/>
    <w:uiPriority w:val="34"/>
    <w:qFormat/>
    <w:rsid w:val="007845AB"/>
    <w:pPr>
      <w:ind w:left="720"/>
      <w:contextualSpacing/>
    </w:pPr>
  </w:style>
  <w:style w:type="character" w:customStyle="1" w:styleId="Titre2Car">
    <w:name w:val="Titre 2 Car"/>
    <w:basedOn w:val="Policepardfaut"/>
    <w:link w:val="Titre2"/>
    <w:uiPriority w:val="9"/>
    <w:rsid w:val="005D635F"/>
    <w:rPr>
      <w:rFonts w:asciiTheme="majorHAnsi" w:hAnsiTheme="majorHAnsi" w:cstheme="minorHAnsi"/>
      <w:b/>
      <w:bCs/>
      <w:sz w:val="40"/>
      <w:szCs w:val="40"/>
    </w:rPr>
  </w:style>
  <w:style w:type="paragraph" w:styleId="En-tte">
    <w:name w:val="header"/>
    <w:basedOn w:val="Normal"/>
    <w:link w:val="En-tteCar"/>
    <w:uiPriority w:val="99"/>
    <w:unhideWhenUsed/>
    <w:rsid w:val="007845AB"/>
    <w:pPr>
      <w:tabs>
        <w:tab w:val="center" w:pos="4536"/>
        <w:tab w:val="right" w:pos="9072"/>
      </w:tabs>
      <w:spacing w:after="0" w:line="240" w:lineRule="auto"/>
    </w:pPr>
  </w:style>
  <w:style w:type="character" w:customStyle="1" w:styleId="En-tteCar">
    <w:name w:val="En-tête Car"/>
    <w:basedOn w:val="Policepardfaut"/>
    <w:link w:val="En-tte"/>
    <w:uiPriority w:val="99"/>
    <w:rsid w:val="007845AB"/>
  </w:style>
  <w:style w:type="paragraph" w:styleId="Pieddepage">
    <w:name w:val="footer"/>
    <w:basedOn w:val="Normal"/>
    <w:link w:val="PieddepageCar"/>
    <w:uiPriority w:val="99"/>
    <w:unhideWhenUsed/>
    <w:rsid w:val="007845A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845AB"/>
  </w:style>
  <w:style w:type="character" w:customStyle="1" w:styleId="Style3Car">
    <w:name w:val="Style3 Car"/>
    <w:link w:val="Style3"/>
    <w:locked/>
    <w:rsid w:val="007845AB"/>
    <w:rPr>
      <w:b/>
      <w:i/>
      <w:color w:val="7F7F7F"/>
      <w:sz w:val="28"/>
    </w:rPr>
  </w:style>
  <w:style w:type="paragraph" w:customStyle="1" w:styleId="Style3">
    <w:name w:val="Style3"/>
    <w:basedOn w:val="Normal"/>
    <w:link w:val="Style3Car"/>
    <w:qFormat/>
    <w:rsid w:val="007845AB"/>
    <w:pPr>
      <w:pBdr>
        <w:bottom w:val="single" w:sz="12" w:space="0" w:color="7F7F7F"/>
      </w:pBdr>
      <w:ind w:left="0"/>
      <w:jc w:val="right"/>
    </w:pPr>
    <w:rPr>
      <w:b/>
      <w:i/>
      <w:color w:val="7F7F7F"/>
      <w:sz w:val="28"/>
    </w:rPr>
  </w:style>
  <w:style w:type="paragraph" w:styleId="Sansinterligne">
    <w:name w:val="No Spacing"/>
    <w:uiPriority w:val="1"/>
    <w:qFormat/>
    <w:rsid w:val="003604D6"/>
    <w:pPr>
      <w:spacing w:after="0" w:line="240" w:lineRule="auto"/>
      <w:ind w:left="567"/>
    </w:pPr>
  </w:style>
  <w:style w:type="paragraph" w:styleId="TM1">
    <w:name w:val="toc 1"/>
    <w:basedOn w:val="Normal"/>
    <w:next w:val="Normal"/>
    <w:autoRedefine/>
    <w:uiPriority w:val="39"/>
    <w:unhideWhenUsed/>
    <w:rsid w:val="00544103"/>
    <w:pPr>
      <w:spacing w:before="120" w:after="0"/>
      <w:ind w:left="0"/>
    </w:pPr>
    <w:rPr>
      <w:rFonts w:cs="Times New Roman"/>
      <w:b/>
      <w:bCs/>
      <w:i/>
      <w:iCs/>
      <w:sz w:val="24"/>
      <w:szCs w:val="28"/>
    </w:rPr>
  </w:style>
  <w:style w:type="paragraph" w:styleId="TM2">
    <w:name w:val="toc 2"/>
    <w:basedOn w:val="Normal"/>
    <w:next w:val="Normal"/>
    <w:autoRedefine/>
    <w:uiPriority w:val="39"/>
    <w:unhideWhenUsed/>
    <w:rsid w:val="00544103"/>
    <w:pPr>
      <w:spacing w:before="120" w:after="0"/>
      <w:ind w:left="220"/>
    </w:pPr>
    <w:rPr>
      <w:rFonts w:cs="Times New Roman"/>
      <w:b/>
      <w:bCs/>
      <w:szCs w:val="26"/>
    </w:rPr>
  </w:style>
  <w:style w:type="paragraph" w:styleId="TM3">
    <w:name w:val="toc 3"/>
    <w:basedOn w:val="Normal"/>
    <w:next w:val="Normal"/>
    <w:autoRedefine/>
    <w:uiPriority w:val="39"/>
    <w:unhideWhenUsed/>
    <w:rsid w:val="00544103"/>
    <w:pPr>
      <w:spacing w:after="0"/>
      <w:ind w:left="440"/>
    </w:pPr>
    <w:rPr>
      <w:rFonts w:cs="Times New Roman"/>
      <w:sz w:val="20"/>
      <w:szCs w:val="24"/>
    </w:rPr>
  </w:style>
  <w:style w:type="paragraph" w:styleId="TM4">
    <w:name w:val="toc 4"/>
    <w:basedOn w:val="Normal"/>
    <w:next w:val="Normal"/>
    <w:autoRedefine/>
    <w:uiPriority w:val="39"/>
    <w:unhideWhenUsed/>
    <w:rsid w:val="00544103"/>
    <w:pPr>
      <w:spacing w:after="0"/>
      <w:ind w:left="660"/>
    </w:pPr>
    <w:rPr>
      <w:rFonts w:cs="Times New Roman"/>
      <w:sz w:val="20"/>
      <w:szCs w:val="24"/>
    </w:rPr>
  </w:style>
  <w:style w:type="paragraph" w:styleId="TM5">
    <w:name w:val="toc 5"/>
    <w:basedOn w:val="Normal"/>
    <w:next w:val="Normal"/>
    <w:autoRedefine/>
    <w:uiPriority w:val="39"/>
    <w:unhideWhenUsed/>
    <w:rsid w:val="00544103"/>
    <w:pPr>
      <w:spacing w:after="0"/>
      <w:ind w:left="880"/>
    </w:pPr>
    <w:rPr>
      <w:rFonts w:cs="Times New Roman"/>
      <w:sz w:val="20"/>
      <w:szCs w:val="24"/>
    </w:rPr>
  </w:style>
  <w:style w:type="paragraph" w:styleId="TM6">
    <w:name w:val="toc 6"/>
    <w:basedOn w:val="Normal"/>
    <w:next w:val="Normal"/>
    <w:autoRedefine/>
    <w:uiPriority w:val="39"/>
    <w:unhideWhenUsed/>
    <w:rsid w:val="00544103"/>
    <w:pPr>
      <w:spacing w:after="0"/>
      <w:ind w:left="1100"/>
    </w:pPr>
    <w:rPr>
      <w:rFonts w:cs="Times New Roman"/>
      <w:sz w:val="20"/>
      <w:szCs w:val="24"/>
    </w:rPr>
  </w:style>
  <w:style w:type="paragraph" w:styleId="TM7">
    <w:name w:val="toc 7"/>
    <w:basedOn w:val="Normal"/>
    <w:next w:val="Normal"/>
    <w:autoRedefine/>
    <w:uiPriority w:val="39"/>
    <w:unhideWhenUsed/>
    <w:rsid w:val="00544103"/>
    <w:pPr>
      <w:spacing w:after="0"/>
      <w:ind w:left="1320"/>
    </w:pPr>
    <w:rPr>
      <w:rFonts w:cs="Times New Roman"/>
      <w:sz w:val="20"/>
      <w:szCs w:val="24"/>
    </w:rPr>
  </w:style>
  <w:style w:type="paragraph" w:styleId="TM8">
    <w:name w:val="toc 8"/>
    <w:basedOn w:val="Normal"/>
    <w:next w:val="Normal"/>
    <w:autoRedefine/>
    <w:uiPriority w:val="39"/>
    <w:unhideWhenUsed/>
    <w:rsid w:val="00544103"/>
    <w:pPr>
      <w:spacing w:after="0"/>
      <w:ind w:left="1540"/>
    </w:pPr>
    <w:rPr>
      <w:rFonts w:cs="Times New Roman"/>
      <w:sz w:val="20"/>
      <w:szCs w:val="24"/>
    </w:rPr>
  </w:style>
  <w:style w:type="paragraph" w:styleId="TM9">
    <w:name w:val="toc 9"/>
    <w:basedOn w:val="Normal"/>
    <w:next w:val="Normal"/>
    <w:autoRedefine/>
    <w:uiPriority w:val="39"/>
    <w:unhideWhenUsed/>
    <w:rsid w:val="00544103"/>
    <w:pPr>
      <w:spacing w:after="0"/>
      <w:ind w:left="1760"/>
    </w:pPr>
    <w:rPr>
      <w:rFonts w:cs="Times New Roman"/>
      <w:sz w:val="20"/>
      <w:szCs w:val="24"/>
    </w:rPr>
  </w:style>
  <w:style w:type="table" w:styleId="Grilledutableau">
    <w:name w:val="Table Grid"/>
    <w:basedOn w:val="TableauNormal"/>
    <w:uiPriority w:val="59"/>
    <w:rsid w:val="00CA032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rameclaire-Accent1">
    <w:name w:val="Light Shading Accent 1"/>
    <w:basedOn w:val="TableauNormal"/>
    <w:uiPriority w:val="60"/>
    <w:rsid w:val="00CA032B"/>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Grilleclaire-Accent1">
    <w:name w:val="Light Grid Accent 1"/>
    <w:basedOn w:val="TableauNormal"/>
    <w:uiPriority w:val="62"/>
    <w:rsid w:val="00153332"/>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character" w:customStyle="1" w:styleId="Titre3Car">
    <w:name w:val="Titre 3 Car"/>
    <w:basedOn w:val="Policepardfaut"/>
    <w:link w:val="Titre3"/>
    <w:uiPriority w:val="9"/>
    <w:rsid w:val="005D635F"/>
    <w:rPr>
      <w:rFonts w:ascii="Cambria" w:eastAsia="Times New Roman" w:hAnsi="Cambria" w:cs="Times New Roman"/>
      <w:b/>
      <w:bCs/>
      <w:color w:val="0D0D0D"/>
      <w:sz w:val="32"/>
      <w:szCs w:val="20"/>
      <w:shd w:val="clear" w:color="auto" w:fill="FFFFFF"/>
      <w:lang w:val="en-US"/>
    </w:rPr>
  </w:style>
  <w:style w:type="table" w:styleId="Trameclaire-Accent5">
    <w:name w:val="Light Shading Accent 5"/>
    <w:basedOn w:val="TableauNormal"/>
    <w:uiPriority w:val="60"/>
    <w:rsid w:val="00AF321B"/>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paragraph" w:styleId="Lgende">
    <w:name w:val="caption"/>
    <w:basedOn w:val="Normal"/>
    <w:next w:val="Normal"/>
    <w:uiPriority w:val="35"/>
    <w:unhideWhenUsed/>
    <w:qFormat/>
    <w:rsid w:val="00242560"/>
    <w:pPr>
      <w:spacing w:line="240" w:lineRule="auto"/>
    </w:pPr>
    <w:rPr>
      <w:b/>
      <w:bCs/>
      <w:color w:val="4F81BD" w:themeColor="accent1"/>
      <w:sz w:val="18"/>
      <w:szCs w:val="18"/>
    </w:rPr>
  </w:style>
  <w:style w:type="character" w:customStyle="1" w:styleId="apple-converted-space">
    <w:name w:val="apple-converted-space"/>
    <w:basedOn w:val="Policepardfaut"/>
    <w:rsid w:val="001468BB"/>
  </w:style>
  <w:style w:type="paragraph" w:styleId="NormalWeb">
    <w:name w:val="Normal (Web)"/>
    <w:basedOn w:val="Normal"/>
    <w:uiPriority w:val="99"/>
    <w:unhideWhenUsed/>
    <w:rsid w:val="001468BB"/>
    <w:pPr>
      <w:spacing w:before="100" w:beforeAutospacing="1" w:after="100" w:afterAutospacing="1" w:line="240" w:lineRule="auto"/>
      <w:ind w:left="0"/>
    </w:pPr>
    <w:rPr>
      <w:rFonts w:ascii="Times New Roman" w:eastAsia="Times New Roman" w:hAnsi="Times New Roman" w:cs="Times New Roman"/>
      <w:sz w:val="24"/>
      <w:szCs w:val="24"/>
      <w:lang w:eastAsia="fr-FR"/>
    </w:rPr>
  </w:style>
  <w:style w:type="table" w:customStyle="1" w:styleId="Trameclaire-Accent11">
    <w:name w:val="Trame claire - Accent 11"/>
    <w:basedOn w:val="TableauNormal"/>
    <w:uiPriority w:val="60"/>
    <w:rsid w:val="001468BB"/>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Standard">
    <w:name w:val="Standard"/>
    <w:basedOn w:val="Normal"/>
    <w:rsid w:val="006E22CD"/>
    <w:pPr>
      <w:ind w:firstLine="284"/>
    </w:pPr>
    <w:rPr>
      <w:rFonts w:ascii="Cambria Math" w:hAnsi="Cambria Math"/>
      <w:sz w:val="28"/>
      <w:szCs w:val="26"/>
    </w:rPr>
  </w:style>
  <w:style w:type="paragraph" w:customStyle="1" w:styleId="Textbody">
    <w:name w:val="Text body"/>
    <w:basedOn w:val="Standard"/>
    <w:rsid w:val="006E22CD"/>
    <w:pPr>
      <w:ind w:left="142"/>
    </w:pPr>
    <w:rPr>
      <w:noProof/>
      <w:lang w:eastAsia="fr-FR"/>
    </w:rPr>
  </w:style>
  <w:style w:type="table" w:styleId="Grillemoyenne2-Accent6">
    <w:name w:val="Medium Grid 2 Accent 6"/>
    <w:basedOn w:val="TableauNormal"/>
    <w:uiPriority w:val="68"/>
    <w:rsid w:val="001468BB"/>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paragraph" w:customStyle="1" w:styleId="Default">
    <w:name w:val="Default"/>
    <w:rsid w:val="001468BB"/>
    <w:pPr>
      <w:autoSpaceDE w:val="0"/>
      <w:autoSpaceDN w:val="0"/>
      <w:adjustRightInd w:val="0"/>
      <w:spacing w:after="0" w:line="240" w:lineRule="auto"/>
    </w:pPr>
    <w:rPr>
      <w:rFonts w:ascii="Cambria" w:hAnsi="Cambria" w:cs="Cambria"/>
      <w:color w:val="000000"/>
      <w:sz w:val="24"/>
      <w:szCs w:val="24"/>
    </w:rPr>
  </w:style>
  <w:style w:type="paragraph" w:styleId="Tabledesillustrations">
    <w:name w:val="table of figures"/>
    <w:basedOn w:val="Normal"/>
    <w:next w:val="Normal"/>
    <w:uiPriority w:val="99"/>
    <w:unhideWhenUsed/>
    <w:rsid w:val="00802923"/>
    <w:pPr>
      <w:spacing w:after="0"/>
      <w:ind w:left="0"/>
    </w:pPr>
  </w:style>
  <w:style w:type="character" w:styleId="Lienhypertexte">
    <w:name w:val="Hyperlink"/>
    <w:basedOn w:val="Policepardfaut"/>
    <w:uiPriority w:val="99"/>
    <w:unhideWhenUsed/>
    <w:rsid w:val="00802923"/>
    <w:rPr>
      <w:color w:val="0000FF" w:themeColor="hyperlink"/>
      <w:u w:val="single"/>
    </w:rPr>
  </w:style>
  <w:style w:type="paragraph" w:styleId="En-ttedetabledesmatires">
    <w:name w:val="TOC Heading"/>
    <w:basedOn w:val="Titre1"/>
    <w:next w:val="Normal"/>
    <w:uiPriority w:val="39"/>
    <w:semiHidden/>
    <w:unhideWhenUsed/>
    <w:qFormat/>
    <w:rsid w:val="00BD18EF"/>
    <w:pPr>
      <w:numPr>
        <w:numId w:val="0"/>
      </w:numPr>
      <w:shd w:val="clear" w:color="auto" w:fill="auto"/>
      <w:tabs>
        <w:tab w:val="clear" w:pos="1134"/>
      </w:tabs>
      <w:spacing w:after="0" w:line="276" w:lineRule="auto"/>
      <w:textAlignment w:val="auto"/>
      <w:outlineLvl w:val="9"/>
    </w:pPr>
    <w:rPr>
      <w:rFonts w:asciiTheme="majorHAnsi" w:eastAsiaTheme="majorEastAsia" w:hAnsiTheme="majorHAnsi" w:cstheme="majorBidi"/>
      <w:color w:val="365F91" w:themeColor="accent1" w:themeShade="BF"/>
      <w:sz w:val="28"/>
      <w:lang w:eastAsia="fr-FR"/>
      <w14:textFill>
        <w14:solidFill>
          <w14:schemeClr w14:val="accent1">
            <w14:lumMod w14:val="75000"/>
            <w14:lumMod w14:val="85000"/>
            <w14:lumOff w14:val="15000"/>
          </w14:schemeClr>
        </w14:solidFill>
      </w14:textFill>
    </w:rPr>
  </w:style>
  <w:style w:type="paragraph" w:styleId="Citationintense">
    <w:name w:val="Intense Quote"/>
    <w:basedOn w:val="Normal"/>
    <w:next w:val="Normal"/>
    <w:link w:val="CitationintenseCar"/>
    <w:uiPriority w:val="30"/>
    <w:qFormat/>
    <w:rsid w:val="00CE3598"/>
    <w:pPr>
      <w:pBdr>
        <w:bottom w:val="single" w:sz="4" w:space="1" w:color="auto"/>
      </w:pBdr>
      <w:spacing w:before="200" w:after="0" w:line="240" w:lineRule="auto"/>
      <w:ind w:left="0" w:right="936"/>
    </w:pPr>
    <w:rPr>
      <w:bCs/>
      <w:iCs/>
      <w:color w:val="262626" w:themeColor="text1" w:themeTint="D9"/>
      <w:sz w:val="48"/>
    </w:rPr>
  </w:style>
  <w:style w:type="character" w:customStyle="1" w:styleId="CitationintenseCar">
    <w:name w:val="Citation intense Car"/>
    <w:basedOn w:val="Policepardfaut"/>
    <w:link w:val="Citationintense"/>
    <w:uiPriority w:val="30"/>
    <w:rsid w:val="00CE3598"/>
    <w:rPr>
      <w:bCs/>
      <w:iCs/>
      <w:color w:val="262626" w:themeColor="text1" w:themeTint="D9"/>
      <w:sz w:val="48"/>
    </w:rPr>
  </w:style>
  <w:style w:type="character" w:customStyle="1" w:styleId="Titre4Car">
    <w:name w:val="Titre 4 Car"/>
    <w:basedOn w:val="Policepardfaut"/>
    <w:link w:val="Titre4"/>
    <w:uiPriority w:val="9"/>
    <w:semiHidden/>
    <w:rsid w:val="0097027C"/>
    <w:rPr>
      <w:rFonts w:asciiTheme="majorHAnsi" w:eastAsiaTheme="majorEastAsia" w:hAnsiTheme="majorHAnsi" w:cstheme="majorBidi"/>
      <w:b/>
      <w:bCs/>
      <w:i/>
      <w:iCs/>
      <w:color w:val="4F81BD" w:themeColor="accent1"/>
    </w:rPr>
  </w:style>
  <w:style w:type="character" w:customStyle="1" w:styleId="Titre5Car">
    <w:name w:val="Titre 5 Car"/>
    <w:basedOn w:val="Policepardfaut"/>
    <w:link w:val="Titre5"/>
    <w:uiPriority w:val="9"/>
    <w:semiHidden/>
    <w:rsid w:val="0097027C"/>
    <w:rPr>
      <w:rFonts w:asciiTheme="majorHAnsi" w:eastAsiaTheme="majorEastAsia" w:hAnsiTheme="majorHAnsi" w:cstheme="majorBidi"/>
      <w:color w:val="243F60" w:themeColor="accent1" w:themeShade="7F"/>
    </w:rPr>
  </w:style>
  <w:style w:type="character" w:customStyle="1" w:styleId="Titre6Car">
    <w:name w:val="Titre 6 Car"/>
    <w:basedOn w:val="Policepardfaut"/>
    <w:link w:val="Titre6"/>
    <w:uiPriority w:val="9"/>
    <w:semiHidden/>
    <w:rsid w:val="0097027C"/>
    <w:rPr>
      <w:rFonts w:asciiTheme="majorHAnsi" w:eastAsiaTheme="majorEastAsia" w:hAnsiTheme="majorHAnsi" w:cstheme="majorBidi"/>
      <w:i/>
      <w:iCs/>
      <w:color w:val="243F60" w:themeColor="accent1" w:themeShade="7F"/>
    </w:rPr>
  </w:style>
  <w:style w:type="character" w:customStyle="1" w:styleId="Titre7Car">
    <w:name w:val="Titre 7 Car"/>
    <w:basedOn w:val="Policepardfaut"/>
    <w:link w:val="Titre7"/>
    <w:uiPriority w:val="9"/>
    <w:semiHidden/>
    <w:rsid w:val="0097027C"/>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9"/>
    <w:semiHidden/>
    <w:rsid w:val="0097027C"/>
    <w:rPr>
      <w:rFonts w:asciiTheme="majorHAnsi" w:eastAsiaTheme="majorEastAsia" w:hAnsiTheme="majorHAnsi" w:cstheme="majorBidi"/>
      <w:color w:val="404040" w:themeColor="text1" w:themeTint="BF"/>
      <w:sz w:val="20"/>
      <w:szCs w:val="20"/>
    </w:rPr>
  </w:style>
  <w:style w:type="character" w:customStyle="1" w:styleId="Titre9Car">
    <w:name w:val="Titre 9 Car"/>
    <w:basedOn w:val="Policepardfaut"/>
    <w:link w:val="Titre9"/>
    <w:uiPriority w:val="9"/>
    <w:semiHidden/>
    <w:rsid w:val="0097027C"/>
    <w:rPr>
      <w:rFonts w:asciiTheme="majorHAnsi" w:eastAsiaTheme="majorEastAsia" w:hAnsiTheme="majorHAnsi" w:cstheme="majorBidi"/>
      <w:i/>
      <w:iCs/>
      <w:color w:val="404040" w:themeColor="text1" w:themeTint="BF"/>
      <w:sz w:val="20"/>
      <w:szCs w:val="20"/>
    </w:rPr>
  </w:style>
</w:styles>
</file>

<file path=word/webSettings.xml><?xml version="1.0" encoding="utf-8"?>
<w:webSettings xmlns:r="http://schemas.openxmlformats.org/officeDocument/2006/relationships" xmlns:w="http://schemas.openxmlformats.org/wordprocessingml/2006/main">
  <w:divs>
    <w:div w:id="42993373">
      <w:bodyDiv w:val="1"/>
      <w:marLeft w:val="0"/>
      <w:marRight w:val="0"/>
      <w:marTop w:val="0"/>
      <w:marBottom w:val="0"/>
      <w:divBdr>
        <w:top w:val="none" w:sz="0" w:space="0" w:color="auto"/>
        <w:left w:val="none" w:sz="0" w:space="0" w:color="auto"/>
        <w:bottom w:val="none" w:sz="0" w:space="0" w:color="auto"/>
        <w:right w:val="none" w:sz="0" w:space="0" w:color="auto"/>
      </w:divBdr>
    </w:div>
    <w:div w:id="152531983">
      <w:bodyDiv w:val="1"/>
      <w:marLeft w:val="0"/>
      <w:marRight w:val="0"/>
      <w:marTop w:val="0"/>
      <w:marBottom w:val="0"/>
      <w:divBdr>
        <w:top w:val="none" w:sz="0" w:space="0" w:color="auto"/>
        <w:left w:val="none" w:sz="0" w:space="0" w:color="auto"/>
        <w:bottom w:val="none" w:sz="0" w:space="0" w:color="auto"/>
        <w:right w:val="none" w:sz="0" w:space="0" w:color="auto"/>
      </w:divBdr>
    </w:div>
    <w:div w:id="163858748">
      <w:bodyDiv w:val="1"/>
      <w:marLeft w:val="0"/>
      <w:marRight w:val="0"/>
      <w:marTop w:val="0"/>
      <w:marBottom w:val="0"/>
      <w:divBdr>
        <w:top w:val="none" w:sz="0" w:space="0" w:color="auto"/>
        <w:left w:val="none" w:sz="0" w:space="0" w:color="auto"/>
        <w:bottom w:val="none" w:sz="0" w:space="0" w:color="auto"/>
        <w:right w:val="none" w:sz="0" w:space="0" w:color="auto"/>
      </w:divBdr>
    </w:div>
    <w:div w:id="368648645">
      <w:bodyDiv w:val="1"/>
      <w:marLeft w:val="0"/>
      <w:marRight w:val="0"/>
      <w:marTop w:val="0"/>
      <w:marBottom w:val="0"/>
      <w:divBdr>
        <w:top w:val="none" w:sz="0" w:space="0" w:color="auto"/>
        <w:left w:val="none" w:sz="0" w:space="0" w:color="auto"/>
        <w:bottom w:val="none" w:sz="0" w:space="0" w:color="auto"/>
        <w:right w:val="none" w:sz="0" w:space="0" w:color="auto"/>
      </w:divBdr>
    </w:div>
    <w:div w:id="406733261">
      <w:bodyDiv w:val="1"/>
      <w:marLeft w:val="0"/>
      <w:marRight w:val="0"/>
      <w:marTop w:val="0"/>
      <w:marBottom w:val="0"/>
      <w:divBdr>
        <w:top w:val="none" w:sz="0" w:space="0" w:color="auto"/>
        <w:left w:val="none" w:sz="0" w:space="0" w:color="auto"/>
        <w:bottom w:val="none" w:sz="0" w:space="0" w:color="auto"/>
        <w:right w:val="none" w:sz="0" w:space="0" w:color="auto"/>
      </w:divBdr>
    </w:div>
    <w:div w:id="414595836">
      <w:bodyDiv w:val="1"/>
      <w:marLeft w:val="0"/>
      <w:marRight w:val="0"/>
      <w:marTop w:val="0"/>
      <w:marBottom w:val="0"/>
      <w:divBdr>
        <w:top w:val="none" w:sz="0" w:space="0" w:color="auto"/>
        <w:left w:val="none" w:sz="0" w:space="0" w:color="auto"/>
        <w:bottom w:val="none" w:sz="0" w:space="0" w:color="auto"/>
        <w:right w:val="none" w:sz="0" w:space="0" w:color="auto"/>
      </w:divBdr>
    </w:div>
    <w:div w:id="522787283">
      <w:bodyDiv w:val="1"/>
      <w:marLeft w:val="0"/>
      <w:marRight w:val="0"/>
      <w:marTop w:val="0"/>
      <w:marBottom w:val="0"/>
      <w:divBdr>
        <w:top w:val="none" w:sz="0" w:space="0" w:color="auto"/>
        <w:left w:val="none" w:sz="0" w:space="0" w:color="auto"/>
        <w:bottom w:val="none" w:sz="0" w:space="0" w:color="auto"/>
        <w:right w:val="none" w:sz="0" w:space="0" w:color="auto"/>
      </w:divBdr>
    </w:div>
    <w:div w:id="584385739">
      <w:bodyDiv w:val="1"/>
      <w:marLeft w:val="0"/>
      <w:marRight w:val="0"/>
      <w:marTop w:val="0"/>
      <w:marBottom w:val="0"/>
      <w:divBdr>
        <w:top w:val="none" w:sz="0" w:space="0" w:color="auto"/>
        <w:left w:val="none" w:sz="0" w:space="0" w:color="auto"/>
        <w:bottom w:val="none" w:sz="0" w:space="0" w:color="auto"/>
        <w:right w:val="none" w:sz="0" w:space="0" w:color="auto"/>
      </w:divBdr>
      <w:divsChild>
        <w:div w:id="1459225485">
          <w:marLeft w:val="720"/>
          <w:marRight w:val="0"/>
          <w:marTop w:val="0"/>
          <w:marBottom w:val="0"/>
          <w:divBdr>
            <w:top w:val="none" w:sz="0" w:space="0" w:color="auto"/>
            <w:left w:val="none" w:sz="0" w:space="0" w:color="auto"/>
            <w:bottom w:val="none" w:sz="0" w:space="0" w:color="auto"/>
            <w:right w:val="none" w:sz="0" w:space="0" w:color="auto"/>
          </w:divBdr>
        </w:div>
        <w:div w:id="258101457">
          <w:marLeft w:val="720"/>
          <w:marRight w:val="0"/>
          <w:marTop w:val="0"/>
          <w:marBottom w:val="0"/>
          <w:divBdr>
            <w:top w:val="none" w:sz="0" w:space="0" w:color="auto"/>
            <w:left w:val="none" w:sz="0" w:space="0" w:color="auto"/>
            <w:bottom w:val="none" w:sz="0" w:space="0" w:color="auto"/>
            <w:right w:val="none" w:sz="0" w:space="0" w:color="auto"/>
          </w:divBdr>
        </w:div>
        <w:div w:id="1090202405">
          <w:marLeft w:val="720"/>
          <w:marRight w:val="0"/>
          <w:marTop w:val="0"/>
          <w:marBottom w:val="0"/>
          <w:divBdr>
            <w:top w:val="none" w:sz="0" w:space="0" w:color="auto"/>
            <w:left w:val="none" w:sz="0" w:space="0" w:color="auto"/>
            <w:bottom w:val="none" w:sz="0" w:space="0" w:color="auto"/>
            <w:right w:val="none" w:sz="0" w:space="0" w:color="auto"/>
          </w:divBdr>
        </w:div>
        <w:div w:id="1781561837">
          <w:marLeft w:val="720"/>
          <w:marRight w:val="0"/>
          <w:marTop w:val="0"/>
          <w:marBottom w:val="0"/>
          <w:divBdr>
            <w:top w:val="none" w:sz="0" w:space="0" w:color="auto"/>
            <w:left w:val="none" w:sz="0" w:space="0" w:color="auto"/>
            <w:bottom w:val="none" w:sz="0" w:space="0" w:color="auto"/>
            <w:right w:val="none" w:sz="0" w:space="0" w:color="auto"/>
          </w:divBdr>
        </w:div>
        <w:div w:id="1119032261">
          <w:marLeft w:val="720"/>
          <w:marRight w:val="0"/>
          <w:marTop w:val="0"/>
          <w:marBottom w:val="0"/>
          <w:divBdr>
            <w:top w:val="none" w:sz="0" w:space="0" w:color="auto"/>
            <w:left w:val="none" w:sz="0" w:space="0" w:color="auto"/>
            <w:bottom w:val="none" w:sz="0" w:space="0" w:color="auto"/>
            <w:right w:val="none" w:sz="0" w:space="0" w:color="auto"/>
          </w:divBdr>
        </w:div>
        <w:div w:id="1002319766">
          <w:marLeft w:val="720"/>
          <w:marRight w:val="0"/>
          <w:marTop w:val="0"/>
          <w:marBottom w:val="0"/>
          <w:divBdr>
            <w:top w:val="none" w:sz="0" w:space="0" w:color="auto"/>
            <w:left w:val="none" w:sz="0" w:space="0" w:color="auto"/>
            <w:bottom w:val="none" w:sz="0" w:space="0" w:color="auto"/>
            <w:right w:val="none" w:sz="0" w:space="0" w:color="auto"/>
          </w:divBdr>
        </w:div>
      </w:divsChild>
    </w:div>
    <w:div w:id="604461629">
      <w:bodyDiv w:val="1"/>
      <w:marLeft w:val="0"/>
      <w:marRight w:val="0"/>
      <w:marTop w:val="0"/>
      <w:marBottom w:val="0"/>
      <w:divBdr>
        <w:top w:val="none" w:sz="0" w:space="0" w:color="auto"/>
        <w:left w:val="none" w:sz="0" w:space="0" w:color="auto"/>
        <w:bottom w:val="none" w:sz="0" w:space="0" w:color="auto"/>
        <w:right w:val="none" w:sz="0" w:space="0" w:color="auto"/>
      </w:divBdr>
    </w:div>
    <w:div w:id="723870713">
      <w:bodyDiv w:val="1"/>
      <w:marLeft w:val="0"/>
      <w:marRight w:val="0"/>
      <w:marTop w:val="0"/>
      <w:marBottom w:val="0"/>
      <w:divBdr>
        <w:top w:val="none" w:sz="0" w:space="0" w:color="auto"/>
        <w:left w:val="none" w:sz="0" w:space="0" w:color="auto"/>
        <w:bottom w:val="none" w:sz="0" w:space="0" w:color="auto"/>
        <w:right w:val="none" w:sz="0" w:space="0" w:color="auto"/>
      </w:divBdr>
    </w:div>
    <w:div w:id="724524761">
      <w:bodyDiv w:val="1"/>
      <w:marLeft w:val="0"/>
      <w:marRight w:val="0"/>
      <w:marTop w:val="0"/>
      <w:marBottom w:val="0"/>
      <w:divBdr>
        <w:top w:val="none" w:sz="0" w:space="0" w:color="auto"/>
        <w:left w:val="none" w:sz="0" w:space="0" w:color="auto"/>
        <w:bottom w:val="none" w:sz="0" w:space="0" w:color="auto"/>
        <w:right w:val="none" w:sz="0" w:space="0" w:color="auto"/>
      </w:divBdr>
    </w:div>
    <w:div w:id="777679925">
      <w:bodyDiv w:val="1"/>
      <w:marLeft w:val="0"/>
      <w:marRight w:val="0"/>
      <w:marTop w:val="0"/>
      <w:marBottom w:val="0"/>
      <w:divBdr>
        <w:top w:val="none" w:sz="0" w:space="0" w:color="auto"/>
        <w:left w:val="none" w:sz="0" w:space="0" w:color="auto"/>
        <w:bottom w:val="none" w:sz="0" w:space="0" w:color="auto"/>
        <w:right w:val="none" w:sz="0" w:space="0" w:color="auto"/>
      </w:divBdr>
    </w:div>
    <w:div w:id="810245616">
      <w:bodyDiv w:val="1"/>
      <w:marLeft w:val="0"/>
      <w:marRight w:val="0"/>
      <w:marTop w:val="0"/>
      <w:marBottom w:val="0"/>
      <w:divBdr>
        <w:top w:val="none" w:sz="0" w:space="0" w:color="auto"/>
        <w:left w:val="none" w:sz="0" w:space="0" w:color="auto"/>
        <w:bottom w:val="none" w:sz="0" w:space="0" w:color="auto"/>
        <w:right w:val="none" w:sz="0" w:space="0" w:color="auto"/>
      </w:divBdr>
    </w:div>
    <w:div w:id="918907821">
      <w:bodyDiv w:val="1"/>
      <w:marLeft w:val="0"/>
      <w:marRight w:val="0"/>
      <w:marTop w:val="0"/>
      <w:marBottom w:val="0"/>
      <w:divBdr>
        <w:top w:val="none" w:sz="0" w:space="0" w:color="auto"/>
        <w:left w:val="none" w:sz="0" w:space="0" w:color="auto"/>
        <w:bottom w:val="none" w:sz="0" w:space="0" w:color="auto"/>
        <w:right w:val="none" w:sz="0" w:space="0" w:color="auto"/>
      </w:divBdr>
    </w:div>
    <w:div w:id="953486894">
      <w:bodyDiv w:val="1"/>
      <w:marLeft w:val="0"/>
      <w:marRight w:val="0"/>
      <w:marTop w:val="0"/>
      <w:marBottom w:val="0"/>
      <w:divBdr>
        <w:top w:val="none" w:sz="0" w:space="0" w:color="auto"/>
        <w:left w:val="none" w:sz="0" w:space="0" w:color="auto"/>
        <w:bottom w:val="none" w:sz="0" w:space="0" w:color="auto"/>
        <w:right w:val="none" w:sz="0" w:space="0" w:color="auto"/>
      </w:divBdr>
    </w:div>
    <w:div w:id="964778576">
      <w:bodyDiv w:val="1"/>
      <w:marLeft w:val="0"/>
      <w:marRight w:val="0"/>
      <w:marTop w:val="0"/>
      <w:marBottom w:val="0"/>
      <w:divBdr>
        <w:top w:val="none" w:sz="0" w:space="0" w:color="auto"/>
        <w:left w:val="none" w:sz="0" w:space="0" w:color="auto"/>
        <w:bottom w:val="none" w:sz="0" w:space="0" w:color="auto"/>
        <w:right w:val="none" w:sz="0" w:space="0" w:color="auto"/>
      </w:divBdr>
    </w:div>
    <w:div w:id="1042678691">
      <w:bodyDiv w:val="1"/>
      <w:marLeft w:val="0"/>
      <w:marRight w:val="0"/>
      <w:marTop w:val="0"/>
      <w:marBottom w:val="0"/>
      <w:divBdr>
        <w:top w:val="none" w:sz="0" w:space="0" w:color="auto"/>
        <w:left w:val="none" w:sz="0" w:space="0" w:color="auto"/>
        <w:bottom w:val="none" w:sz="0" w:space="0" w:color="auto"/>
        <w:right w:val="none" w:sz="0" w:space="0" w:color="auto"/>
      </w:divBdr>
    </w:div>
    <w:div w:id="1068918020">
      <w:bodyDiv w:val="1"/>
      <w:marLeft w:val="0"/>
      <w:marRight w:val="0"/>
      <w:marTop w:val="0"/>
      <w:marBottom w:val="0"/>
      <w:divBdr>
        <w:top w:val="none" w:sz="0" w:space="0" w:color="auto"/>
        <w:left w:val="none" w:sz="0" w:space="0" w:color="auto"/>
        <w:bottom w:val="none" w:sz="0" w:space="0" w:color="auto"/>
        <w:right w:val="none" w:sz="0" w:space="0" w:color="auto"/>
      </w:divBdr>
    </w:div>
    <w:div w:id="1088044930">
      <w:bodyDiv w:val="1"/>
      <w:marLeft w:val="0"/>
      <w:marRight w:val="0"/>
      <w:marTop w:val="0"/>
      <w:marBottom w:val="0"/>
      <w:divBdr>
        <w:top w:val="none" w:sz="0" w:space="0" w:color="auto"/>
        <w:left w:val="none" w:sz="0" w:space="0" w:color="auto"/>
        <w:bottom w:val="none" w:sz="0" w:space="0" w:color="auto"/>
        <w:right w:val="none" w:sz="0" w:space="0" w:color="auto"/>
      </w:divBdr>
    </w:div>
    <w:div w:id="1129936352">
      <w:bodyDiv w:val="1"/>
      <w:marLeft w:val="0"/>
      <w:marRight w:val="0"/>
      <w:marTop w:val="0"/>
      <w:marBottom w:val="0"/>
      <w:divBdr>
        <w:top w:val="none" w:sz="0" w:space="0" w:color="auto"/>
        <w:left w:val="none" w:sz="0" w:space="0" w:color="auto"/>
        <w:bottom w:val="none" w:sz="0" w:space="0" w:color="auto"/>
        <w:right w:val="none" w:sz="0" w:space="0" w:color="auto"/>
      </w:divBdr>
    </w:div>
    <w:div w:id="1145774509">
      <w:bodyDiv w:val="1"/>
      <w:marLeft w:val="0"/>
      <w:marRight w:val="0"/>
      <w:marTop w:val="0"/>
      <w:marBottom w:val="0"/>
      <w:divBdr>
        <w:top w:val="none" w:sz="0" w:space="0" w:color="auto"/>
        <w:left w:val="none" w:sz="0" w:space="0" w:color="auto"/>
        <w:bottom w:val="none" w:sz="0" w:space="0" w:color="auto"/>
        <w:right w:val="none" w:sz="0" w:space="0" w:color="auto"/>
      </w:divBdr>
    </w:div>
    <w:div w:id="1260605581">
      <w:bodyDiv w:val="1"/>
      <w:marLeft w:val="0"/>
      <w:marRight w:val="0"/>
      <w:marTop w:val="0"/>
      <w:marBottom w:val="0"/>
      <w:divBdr>
        <w:top w:val="none" w:sz="0" w:space="0" w:color="auto"/>
        <w:left w:val="none" w:sz="0" w:space="0" w:color="auto"/>
        <w:bottom w:val="none" w:sz="0" w:space="0" w:color="auto"/>
        <w:right w:val="none" w:sz="0" w:space="0" w:color="auto"/>
      </w:divBdr>
    </w:div>
    <w:div w:id="1274050802">
      <w:bodyDiv w:val="1"/>
      <w:marLeft w:val="0"/>
      <w:marRight w:val="0"/>
      <w:marTop w:val="0"/>
      <w:marBottom w:val="0"/>
      <w:divBdr>
        <w:top w:val="none" w:sz="0" w:space="0" w:color="auto"/>
        <w:left w:val="none" w:sz="0" w:space="0" w:color="auto"/>
        <w:bottom w:val="none" w:sz="0" w:space="0" w:color="auto"/>
        <w:right w:val="none" w:sz="0" w:space="0" w:color="auto"/>
      </w:divBdr>
    </w:div>
    <w:div w:id="1310985751">
      <w:bodyDiv w:val="1"/>
      <w:marLeft w:val="0"/>
      <w:marRight w:val="0"/>
      <w:marTop w:val="0"/>
      <w:marBottom w:val="0"/>
      <w:divBdr>
        <w:top w:val="none" w:sz="0" w:space="0" w:color="auto"/>
        <w:left w:val="none" w:sz="0" w:space="0" w:color="auto"/>
        <w:bottom w:val="none" w:sz="0" w:space="0" w:color="auto"/>
        <w:right w:val="none" w:sz="0" w:space="0" w:color="auto"/>
      </w:divBdr>
    </w:div>
    <w:div w:id="1312514884">
      <w:bodyDiv w:val="1"/>
      <w:marLeft w:val="0"/>
      <w:marRight w:val="0"/>
      <w:marTop w:val="0"/>
      <w:marBottom w:val="0"/>
      <w:divBdr>
        <w:top w:val="none" w:sz="0" w:space="0" w:color="auto"/>
        <w:left w:val="none" w:sz="0" w:space="0" w:color="auto"/>
        <w:bottom w:val="none" w:sz="0" w:space="0" w:color="auto"/>
        <w:right w:val="none" w:sz="0" w:space="0" w:color="auto"/>
      </w:divBdr>
    </w:div>
    <w:div w:id="1344167758">
      <w:bodyDiv w:val="1"/>
      <w:marLeft w:val="0"/>
      <w:marRight w:val="0"/>
      <w:marTop w:val="0"/>
      <w:marBottom w:val="0"/>
      <w:divBdr>
        <w:top w:val="none" w:sz="0" w:space="0" w:color="auto"/>
        <w:left w:val="none" w:sz="0" w:space="0" w:color="auto"/>
        <w:bottom w:val="none" w:sz="0" w:space="0" w:color="auto"/>
        <w:right w:val="none" w:sz="0" w:space="0" w:color="auto"/>
      </w:divBdr>
    </w:div>
    <w:div w:id="1398281770">
      <w:bodyDiv w:val="1"/>
      <w:marLeft w:val="0"/>
      <w:marRight w:val="0"/>
      <w:marTop w:val="0"/>
      <w:marBottom w:val="0"/>
      <w:divBdr>
        <w:top w:val="none" w:sz="0" w:space="0" w:color="auto"/>
        <w:left w:val="none" w:sz="0" w:space="0" w:color="auto"/>
        <w:bottom w:val="none" w:sz="0" w:space="0" w:color="auto"/>
        <w:right w:val="none" w:sz="0" w:space="0" w:color="auto"/>
      </w:divBdr>
    </w:div>
    <w:div w:id="1400051963">
      <w:bodyDiv w:val="1"/>
      <w:marLeft w:val="0"/>
      <w:marRight w:val="0"/>
      <w:marTop w:val="0"/>
      <w:marBottom w:val="0"/>
      <w:divBdr>
        <w:top w:val="none" w:sz="0" w:space="0" w:color="auto"/>
        <w:left w:val="none" w:sz="0" w:space="0" w:color="auto"/>
        <w:bottom w:val="none" w:sz="0" w:space="0" w:color="auto"/>
        <w:right w:val="none" w:sz="0" w:space="0" w:color="auto"/>
      </w:divBdr>
    </w:div>
    <w:div w:id="1406024617">
      <w:bodyDiv w:val="1"/>
      <w:marLeft w:val="0"/>
      <w:marRight w:val="0"/>
      <w:marTop w:val="0"/>
      <w:marBottom w:val="0"/>
      <w:divBdr>
        <w:top w:val="none" w:sz="0" w:space="0" w:color="auto"/>
        <w:left w:val="none" w:sz="0" w:space="0" w:color="auto"/>
        <w:bottom w:val="none" w:sz="0" w:space="0" w:color="auto"/>
        <w:right w:val="none" w:sz="0" w:space="0" w:color="auto"/>
      </w:divBdr>
    </w:div>
    <w:div w:id="1435243296">
      <w:bodyDiv w:val="1"/>
      <w:marLeft w:val="0"/>
      <w:marRight w:val="0"/>
      <w:marTop w:val="0"/>
      <w:marBottom w:val="0"/>
      <w:divBdr>
        <w:top w:val="none" w:sz="0" w:space="0" w:color="auto"/>
        <w:left w:val="none" w:sz="0" w:space="0" w:color="auto"/>
        <w:bottom w:val="none" w:sz="0" w:space="0" w:color="auto"/>
        <w:right w:val="none" w:sz="0" w:space="0" w:color="auto"/>
      </w:divBdr>
      <w:divsChild>
        <w:div w:id="612982593">
          <w:marLeft w:val="547"/>
          <w:marRight w:val="0"/>
          <w:marTop w:val="0"/>
          <w:marBottom w:val="0"/>
          <w:divBdr>
            <w:top w:val="none" w:sz="0" w:space="0" w:color="auto"/>
            <w:left w:val="none" w:sz="0" w:space="0" w:color="auto"/>
            <w:bottom w:val="none" w:sz="0" w:space="0" w:color="auto"/>
            <w:right w:val="none" w:sz="0" w:space="0" w:color="auto"/>
          </w:divBdr>
        </w:div>
      </w:divsChild>
    </w:div>
    <w:div w:id="1436052365">
      <w:bodyDiv w:val="1"/>
      <w:marLeft w:val="0"/>
      <w:marRight w:val="0"/>
      <w:marTop w:val="0"/>
      <w:marBottom w:val="0"/>
      <w:divBdr>
        <w:top w:val="none" w:sz="0" w:space="0" w:color="auto"/>
        <w:left w:val="none" w:sz="0" w:space="0" w:color="auto"/>
        <w:bottom w:val="none" w:sz="0" w:space="0" w:color="auto"/>
        <w:right w:val="none" w:sz="0" w:space="0" w:color="auto"/>
      </w:divBdr>
    </w:div>
    <w:div w:id="1460684657">
      <w:bodyDiv w:val="1"/>
      <w:marLeft w:val="0"/>
      <w:marRight w:val="0"/>
      <w:marTop w:val="0"/>
      <w:marBottom w:val="0"/>
      <w:divBdr>
        <w:top w:val="none" w:sz="0" w:space="0" w:color="auto"/>
        <w:left w:val="none" w:sz="0" w:space="0" w:color="auto"/>
        <w:bottom w:val="none" w:sz="0" w:space="0" w:color="auto"/>
        <w:right w:val="none" w:sz="0" w:space="0" w:color="auto"/>
      </w:divBdr>
    </w:div>
    <w:div w:id="1635138857">
      <w:bodyDiv w:val="1"/>
      <w:marLeft w:val="0"/>
      <w:marRight w:val="0"/>
      <w:marTop w:val="0"/>
      <w:marBottom w:val="0"/>
      <w:divBdr>
        <w:top w:val="none" w:sz="0" w:space="0" w:color="auto"/>
        <w:left w:val="none" w:sz="0" w:space="0" w:color="auto"/>
        <w:bottom w:val="none" w:sz="0" w:space="0" w:color="auto"/>
        <w:right w:val="none" w:sz="0" w:space="0" w:color="auto"/>
      </w:divBdr>
    </w:div>
    <w:div w:id="1718966458">
      <w:bodyDiv w:val="1"/>
      <w:marLeft w:val="0"/>
      <w:marRight w:val="0"/>
      <w:marTop w:val="0"/>
      <w:marBottom w:val="0"/>
      <w:divBdr>
        <w:top w:val="none" w:sz="0" w:space="0" w:color="auto"/>
        <w:left w:val="none" w:sz="0" w:space="0" w:color="auto"/>
        <w:bottom w:val="none" w:sz="0" w:space="0" w:color="auto"/>
        <w:right w:val="none" w:sz="0" w:space="0" w:color="auto"/>
      </w:divBdr>
      <w:divsChild>
        <w:div w:id="1079669678">
          <w:marLeft w:val="0"/>
          <w:marRight w:val="0"/>
          <w:marTop w:val="0"/>
          <w:marBottom w:val="213"/>
          <w:divBdr>
            <w:top w:val="none" w:sz="0" w:space="0" w:color="auto"/>
            <w:left w:val="none" w:sz="0" w:space="0" w:color="auto"/>
            <w:bottom w:val="none" w:sz="0" w:space="0" w:color="auto"/>
            <w:right w:val="none" w:sz="0" w:space="0" w:color="auto"/>
          </w:divBdr>
        </w:div>
        <w:div w:id="234361503">
          <w:marLeft w:val="622"/>
          <w:marRight w:val="0"/>
          <w:marTop w:val="462"/>
          <w:marBottom w:val="462"/>
          <w:divBdr>
            <w:top w:val="none" w:sz="0" w:space="0" w:color="auto"/>
            <w:left w:val="none" w:sz="0" w:space="0" w:color="auto"/>
            <w:bottom w:val="none" w:sz="0" w:space="0" w:color="auto"/>
            <w:right w:val="none" w:sz="0" w:space="0" w:color="auto"/>
          </w:divBdr>
        </w:div>
      </w:divsChild>
    </w:div>
    <w:div w:id="1769152825">
      <w:bodyDiv w:val="1"/>
      <w:marLeft w:val="0"/>
      <w:marRight w:val="0"/>
      <w:marTop w:val="0"/>
      <w:marBottom w:val="0"/>
      <w:divBdr>
        <w:top w:val="none" w:sz="0" w:space="0" w:color="auto"/>
        <w:left w:val="none" w:sz="0" w:space="0" w:color="auto"/>
        <w:bottom w:val="none" w:sz="0" w:space="0" w:color="auto"/>
        <w:right w:val="none" w:sz="0" w:space="0" w:color="auto"/>
      </w:divBdr>
    </w:div>
    <w:div w:id="1782534586">
      <w:bodyDiv w:val="1"/>
      <w:marLeft w:val="0"/>
      <w:marRight w:val="0"/>
      <w:marTop w:val="0"/>
      <w:marBottom w:val="0"/>
      <w:divBdr>
        <w:top w:val="none" w:sz="0" w:space="0" w:color="auto"/>
        <w:left w:val="none" w:sz="0" w:space="0" w:color="auto"/>
        <w:bottom w:val="none" w:sz="0" w:space="0" w:color="auto"/>
        <w:right w:val="none" w:sz="0" w:space="0" w:color="auto"/>
      </w:divBdr>
    </w:div>
    <w:div w:id="1879854159">
      <w:bodyDiv w:val="1"/>
      <w:marLeft w:val="0"/>
      <w:marRight w:val="0"/>
      <w:marTop w:val="0"/>
      <w:marBottom w:val="0"/>
      <w:divBdr>
        <w:top w:val="none" w:sz="0" w:space="0" w:color="auto"/>
        <w:left w:val="none" w:sz="0" w:space="0" w:color="auto"/>
        <w:bottom w:val="none" w:sz="0" w:space="0" w:color="auto"/>
        <w:right w:val="none" w:sz="0" w:space="0" w:color="auto"/>
      </w:divBdr>
    </w:div>
    <w:div w:id="1901819580">
      <w:bodyDiv w:val="1"/>
      <w:marLeft w:val="0"/>
      <w:marRight w:val="0"/>
      <w:marTop w:val="0"/>
      <w:marBottom w:val="0"/>
      <w:divBdr>
        <w:top w:val="none" w:sz="0" w:space="0" w:color="auto"/>
        <w:left w:val="none" w:sz="0" w:space="0" w:color="auto"/>
        <w:bottom w:val="none" w:sz="0" w:space="0" w:color="auto"/>
        <w:right w:val="none" w:sz="0" w:space="0" w:color="auto"/>
      </w:divBdr>
    </w:div>
    <w:div w:id="1932860337">
      <w:bodyDiv w:val="1"/>
      <w:marLeft w:val="0"/>
      <w:marRight w:val="0"/>
      <w:marTop w:val="0"/>
      <w:marBottom w:val="0"/>
      <w:divBdr>
        <w:top w:val="none" w:sz="0" w:space="0" w:color="auto"/>
        <w:left w:val="none" w:sz="0" w:space="0" w:color="auto"/>
        <w:bottom w:val="none" w:sz="0" w:space="0" w:color="auto"/>
        <w:right w:val="none" w:sz="0" w:space="0" w:color="auto"/>
      </w:divBdr>
    </w:div>
    <w:div w:id="1953126004">
      <w:bodyDiv w:val="1"/>
      <w:marLeft w:val="0"/>
      <w:marRight w:val="0"/>
      <w:marTop w:val="0"/>
      <w:marBottom w:val="0"/>
      <w:divBdr>
        <w:top w:val="none" w:sz="0" w:space="0" w:color="auto"/>
        <w:left w:val="none" w:sz="0" w:space="0" w:color="auto"/>
        <w:bottom w:val="none" w:sz="0" w:space="0" w:color="auto"/>
        <w:right w:val="none" w:sz="0" w:space="0" w:color="auto"/>
      </w:divBdr>
    </w:div>
    <w:div w:id="2135563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hyperlink" Target="http://www.sgcib.com/" TargetMode="Externa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png"/><Relationship Id="rId68" Type="http://schemas.openxmlformats.org/officeDocument/2006/relationships/image" Target="media/image52.png"/><Relationship Id="rId76" Type="http://schemas.openxmlformats.org/officeDocument/2006/relationships/image" Target="media/image60.png"/><Relationship Id="rId84" Type="http://schemas.openxmlformats.org/officeDocument/2006/relationships/hyperlink" Target="https://www.lesechos.fr/finance-marches/vernimmen/definition_capitaux-propres.html" TargetMode="External"/><Relationship Id="rId89"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5.png"/><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image" Target="media/image13.png"/><Relationship Id="rId11" Type="http://schemas.openxmlformats.org/officeDocument/2006/relationships/image" Target="media/image2.jpeg"/><Relationship Id="rId24" Type="http://schemas.openxmlformats.org/officeDocument/2006/relationships/header" Target="header7.xm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50.png"/><Relationship Id="rId74" Type="http://schemas.openxmlformats.org/officeDocument/2006/relationships/image" Target="media/image58.jpeg"/><Relationship Id="rId79" Type="http://schemas.openxmlformats.org/officeDocument/2006/relationships/hyperlink" Target="https://www.fimarkets.com/pages/agences_notation.php" TargetMode="External"/><Relationship Id="rId87" Type="http://schemas.openxmlformats.org/officeDocument/2006/relationships/header" Target="header10.xml"/><Relationship Id="rId5" Type="http://schemas.openxmlformats.org/officeDocument/2006/relationships/webSettings" Target="webSettings.xml"/><Relationship Id="rId61" Type="http://schemas.openxmlformats.org/officeDocument/2006/relationships/image" Target="media/image45.png"/><Relationship Id="rId82" Type="http://schemas.openxmlformats.org/officeDocument/2006/relationships/hyperlink" Target="https://www.lesechos.fr/finance-marches/vernimmen/definition_produit-derive.html" TargetMode="External"/><Relationship Id="rId90" Type="http://schemas.openxmlformats.org/officeDocument/2006/relationships/theme" Target="theme/theme1.xml"/><Relationship Id="rId19" Type="http://schemas.openxmlformats.org/officeDocument/2006/relationships/image" Target="media/image5.png"/><Relationship Id="rId14" Type="http://schemas.openxmlformats.org/officeDocument/2006/relationships/header" Target="header4.xm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image" Target="media/image53.png"/><Relationship Id="rId77" Type="http://schemas.openxmlformats.org/officeDocument/2006/relationships/header" Target="header8.xml"/><Relationship Id="rId8" Type="http://schemas.openxmlformats.org/officeDocument/2006/relationships/image" Target="media/image1.jpeg"/><Relationship Id="rId51" Type="http://schemas.openxmlformats.org/officeDocument/2006/relationships/image" Target="media/image35.png"/><Relationship Id="rId72" Type="http://schemas.openxmlformats.org/officeDocument/2006/relationships/image" Target="media/image56.png"/><Relationship Id="rId80" Type="http://schemas.openxmlformats.org/officeDocument/2006/relationships/hyperlink" Target="https://www.fimarkets.com/pages/operations_sur_titres_ost.php" TargetMode="External"/><Relationship Id="rId85" Type="http://schemas.openxmlformats.org/officeDocument/2006/relationships/hyperlink" Target="https://fr.wikipedia.org/wiki/March%C3%A9_mon%C3%A9taire"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20" Type="http://schemas.openxmlformats.org/officeDocument/2006/relationships/image" Target="media/image6.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image" Target="media/image54.png"/><Relationship Id="rId75" Type="http://schemas.openxmlformats.org/officeDocument/2006/relationships/image" Target="media/image59.png"/><Relationship Id="rId83" Type="http://schemas.openxmlformats.org/officeDocument/2006/relationships/hyperlink" Target="https://www.lesechos.fr/finance-marches/vernimmen/definition_effet-de-levier.html" TargetMode="External"/><Relationship Id="rId88" Type="http://schemas.openxmlformats.org/officeDocument/2006/relationships/header" Target="header11.xml"/><Relationship Id="rId91"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image" Target="media/image8.jpe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41.png"/><Relationship Id="rId10" Type="http://schemas.openxmlformats.org/officeDocument/2006/relationships/footer" Target="footer1.xm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73" Type="http://schemas.openxmlformats.org/officeDocument/2006/relationships/image" Target="media/image57.png"/><Relationship Id="rId78" Type="http://schemas.openxmlformats.org/officeDocument/2006/relationships/header" Target="header9.xml"/><Relationship Id="rId81" Type="http://schemas.openxmlformats.org/officeDocument/2006/relationships/hyperlink" Target="https://www.lesechos.fr/finance-marches/vernimmen/definition_fonds-dinvestissement.html" TargetMode="External"/><Relationship Id="rId86" Type="http://schemas.openxmlformats.org/officeDocument/2006/relationships/hyperlink" Target="https://fr.wikipedia.org/wiki/Eonia" TargetMode="Externa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741608-BF70-4000-A202-C8A153AF06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6149</TotalTime>
  <Pages>45</Pages>
  <Words>7710</Words>
  <Characters>42409</Characters>
  <Application>Microsoft Office Word</Application>
  <DocSecurity>0</DocSecurity>
  <Lines>353</Lines>
  <Paragraphs>100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50019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Tesnim</dc:creator>
  <cp:lastModifiedBy>Workstation</cp:lastModifiedBy>
  <cp:revision>10</cp:revision>
  <cp:lastPrinted>2015-12-11T16:06:00Z</cp:lastPrinted>
  <dcterms:created xsi:type="dcterms:W3CDTF">2017-09-18T00:49:00Z</dcterms:created>
  <dcterms:modified xsi:type="dcterms:W3CDTF">2017-09-25T22:12:00Z</dcterms:modified>
</cp:coreProperties>
</file>